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A9D" w:rsidRPr="008F5A9D" w:rsidRDefault="00992009" w:rsidP="008F5A9D">
      <w:pPr>
        <w:jc w:val="center"/>
        <w:rPr>
          <w:sz w:val="28"/>
          <w:szCs w:val="28"/>
        </w:rPr>
      </w:pPr>
      <w:r w:rsidRPr="008F5A9D">
        <w:rPr>
          <w:sz w:val="28"/>
          <w:szCs w:val="28"/>
        </w:rPr>
        <w:t xml:space="preserve">Smlouva o poskytnutí </w:t>
      </w:r>
      <w:r>
        <w:rPr>
          <w:sz w:val="28"/>
          <w:szCs w:val="28"/>
        </w:rPr>
        <w:t>hardwarové</w:t>
      </w:r>
      <w:r w:rsidRPr="008F5A9D">
        <w:rPr>
          <w:sz w:val="28"/>
          <w:szCs w:val="28"/>
        </w:rPr>
        <w:t xml:space="preserve"> podpory</w:t>
      </w:r>
      <w:r>
        <w:rPr>
          <w:sz w:val="28"/>
          <w:szCs w:val="28"/>
        </w:rPr>
        <w:t xml:space="preserve"> IBM zařízení</w:t>
      </w:r>
    </w:p>
    <w:p w:rsidR="008F5A9D" w:rsidRPr="008F5A9D" w:rsidRDefault="008F5A9D" w:rsidP="008F5A9D">
      <w:pPr>
        <w:jc w:val="center"/>
        <w:rPr>
          <w:sz w:val="28"/>
          <w:szCs w:val="28"/>
        </w:rPr>
      </w:pPr>
      <w:r w:rsidRPr="008F5A9D">
        <w:rPr>
          <w:sz w:val="28"/>
          <w:szCs w:val="28"/>
        </w:rPr>
        <w:t xml:space="preserve">č. </w:t>
      </w:r>
      <w:r w:rsidRPr="008F5A9D">
        <w:rPr>
          <w:sz w:val="28"/>
          <w:szCs w:val="28"/>
          <w:highlight w:val="yellow"/>
        </w:rPr>
        <w:fldChar w:fldCharType="begin">
          <w:ffData>
            <w:name w:val="Text1"/>
            <w:enabled/>
            <w:calcOnExit w:val="0"/>
            <w:textInput/>
          </w:ffData>
        </w:fldChar>
      </w:r>
      <w:bookmarkStart w:id="0" w:name="Text1"/>
      <w:r w:rsidRPr="008F5A9D">
        <w:rPr>
          <w:sz w:val="28"/>
          <w:szCs w:val="28"/>
          <w:highlight w:val="yellow"/>
        </w:rPr>
        <w:instrText xml:space="preserve"> FORMTEXT </w:instrText>
      </w:r>
      <w:r w:rsidRPr="008F5A9D">
        <w:rPr>
          <w:sz w:val="28"/>
          <w:szCs w:val="28"/>
          <w:highlight w:val="yellow"/>
        </w:rPr>
      </w:r>
      <w:r w:rsidRPr="008F5A9D">
        <w:rPr>
          <w:sz w:val="28"/>
          <w:szCs w:val="28"/>
          <w:highlight w:val="yellow"/>
        </w:rPr>
        <w:fldChar w:fldCharType="separate"/>
      </w:r>
      <w:bookmarkStart w:id="1" w:name="_GoBack"/>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bookmarkEnd w:id="1"/>
      <w:r w:rsidRPr="008F5A9D">
        <w:rPr>
          <w:sz w:val="28"/>
          <w:szCs w:val="28"/>
          <w:highlight w:val="yellow"/>
        </w:rPr>
        <w:fldChar w:fldCharType="end"/>
      </w:r>
      <w:bookmarkEnd w:id="0"/>
    </w:p>
    <w:p w:rsidR="008F5A9D" w:rsidRDefault="008F5A9D" w:rsidP="008F5A9D"/>
    <w:p w:rsidR="008F5A9D" w:rsidRDefault="008F5A9D" w:rsidP="008F5A9D">
      <w:r>
        <w:t xml:space="preserve">uzavřená dle ustanovení § </w:t>
      </w:r>
      <w:r w:rsidR="00DE490A">
        <w:t>1746</w:t>
      </w:r>
      <w:r>
        <w:t xml:space="preserve"> odst. 2 zákona č. </w:t>
      </w:r>
      <w:r w:rsidR="00DE490A">
        <w:t>89/2012 Sb., občanský zákoník, v platném znění</w:t>
      </w:r>
      <w:r>
        <w:t>, mezi</w:t>
      </w:r>
    </w:p>
    <w:p w:rsidR="008F5A9D" w:rsidRDefault="008F5A9D" w:rsidP="008F5A9D"/>
    <w:p w:rsidR="008F5A9D" w:rsidRPr="002C4E3C" w:rsidRDefault="008F5A9D" w:rsidP="002C4E3C">
      <w:pPr>
        <w:spacing w:after="0"/>
        <w:rPr>
          <w:b/>
        </w:rPr>
      </w:pPr>
      <w:r w:rsidRPr="002C4E3C">
        <w:rPr>
          <w:b/>
        </w:rPr>
        <w:t>ČEPRO, a.s.</w:t>
      </w:r>
    </w:p>
    <w:p w:rsidR="008F5A9D" w:rsidRDefault="008F5A9D" w:rsidP="002C4E3C">
      <w:pPr>
        <w:tabs>
          <w:tab w:val="left" w:pos="2552"/>
        </w:tabs>
        <w:spacing w:after="0"/>
      </w:pPr>
      <w:r>
        <w:t>se sídlem:</w:t>
      </w:r>
      <w:r>
        <w:tab/>
        <w:t>Praha 7, Dělnická č.p. 213, č.or.12, PSČ 170 04</w:t>
      </w:r>
    </w:p>
    <w:p w:rsidR="008F5A9D" w:rsidRDefault="008F5A9D" w:rsidP="002C4E3C">
      <w:pPr>
        <w:tabs>
          <w:tab w:val="left" w:pos="2552"/>
        </w:tabs>
        <w:spacing w:after="0"/>
      </w:pPr>
      <w:r>
        <w:t>IČ:</w:t>
      </w:r>
      <w:r>
        <w:tab/>
        <w:t>60193531</w:t>
      </w:r>
    </w:p>
    <w:p w:rsidR="008F5A9D" w:rsidRDefault="008F5A9D" w:rsidP="002C4E3C">
      <w:pPr>
        <w:tabs>
          <w:tab w:val="left" w:pos="2552"/>
        </w:tabs>
        <w:spacing w:after="0"/>
      </w:pPr>
      <w:r>
        <w:t>DIČ:</w:t>
      </w:r>
      <w:r>
        <w:tab/>
        <w:t>CZ60193531</w:t>
      </w:r>
    </w:p>
    <w:p w:rsidR="008F5A9D" w:rsidRDefault="008F5A9D" w:rsidP="002C4E3C">
      <w:pPr>
        <w:tabs>
          <w:tab w:val="left" w:pos="2552"/>
        </w:tabs>
        <w:spacing w:after="0"/>
      </w:pPr>
      <w:r>
        <w:t>zapsaná:</w:t>
      </w:r>
      <w:r>
        <w:tab/>
        <w:t>v OR Městského soudu v Praze, oddíl B, vložka č. 2341</w:t>
      </w:r>
    </w:p>
    <w:p w:rsidR="008F5A9D" w:rsidRDefault="00DE490A" w:rsidP="002C4E3C">
      <w:pPr>
        <w:tabs>
          <w:tab w:val="left" w:pos="2552"/>
        </w:tabs>
        <w:spacing w:after="0"/>
      </w:pPr>
      <w:r>
        <w:t>zastupuje</w:t>
      </w:r>
      <w:r w:rsidR="008F5A9D">
        <w:t>:</w:t>
      </w:r>
      <w:r w:rsidR="008F5A9D">
        <w:tab/>
      </w:r>
      <w:r>
        <w:t>Mgr. Jan Duspěva</w:t>
      </w:r>
      <w:r w:rsidR="008F5A9D">
        <w:t>, předseda představenstva a</w:t>
      </w:r>
    </w:p>
    <w:p w:rsidR="008F5A9D" w:rsidRDefault="008F5A9D" w:rsidP="002C4E3C">
      <w:pPr>
        <w:tabs>
          <w:tab w:val="left" w:pos="2552"/>
        </w:tabs>
        <w:spacing w:after="0"/>
      </w:pPr>
      <w:r>
        <w:tab/>
        <w:t>Ing. Ladislav Staněk, člen představenstva</w:t>
      </w:r>
    </w:p>
    <w:p w:rsidR="008F5A9D" w:rsidRDefault="008F5A9D" w:rsidP="002C4E3C">
      <w:pPr>
        <w:tabs>
          <w:tab w:val="left" w:pos="2552"/>
        </w:tabs>
        <w:spacing w:after="0"/>
      </w:pPr>
      <w:r>
        <w:t xml:space="preserve">oprávněni v rámci uzavřené smlouvy jednat </w:t>
      </w:r>
      <w:r w:rsidR="00DE490A">
        <w:t xml:space="preserve">bez oprávnění ke změnám této smlouvy </w:t>
      </w:r>
      <w:r>
        <w:t>ve věcech:</w:t>
      </w:r>
    </w:p>
    <w:p w:rsidR="008F5A9D" w:rsidRDefault="008F5A9D" w:rsidP="002C4E3C">
      <w:pPr>
        <w:tabs>
          <w:tab w:val="left" w:pos="2552"/>
        </w:tabs>
        <w:spacing w:after="0"/>
      </w:pPr>
      <w:r>
        <w:t>smluvních:</w:t>
      </w:r>
      <w:r>
        <w:tab/>
        <w:t>Milan Trnka, 221 968 254, milan.trnka@ceproas.cz</w:t>
      </w:r>
    </w:p>
    <w:p w:rsidR="008F5A9D" w:rsidRDefault="008F5A9D" w:rsidP="002C4E3C">
      <w:pPr>
        <w:tabs>
          <w:tab w:val="left" w:pos="2552"/>
        </w:tabs>
        <w:spacing w:after="0"/>
      </w:pPr>
      <w:r w:rsidRPr="00C43308">
        <w:t>technických:</w:t>
      </w:r>
      <w:r w:rsidRPr="00C43308">
        <w:tab/>
      </w:r>
      <w:r w:rsidR="003671A5" w:rsidRPr="00C43308">
        <w:t xml:space="preserve">Ing. Vladimír Michálek, </w:t>
      </w:r>
      <w:hyperlink r:id="rId9" w:history="1">
        <w:r w:rsidR="003671A5" w:rsidRPr="00C43308">
          <w:rPr>
            <w:rStyle w:val="Hypertextovodkaz"/>
            <w:color w:val="auto"/>
            <w:u w:val="none"/>
          </w:rPr>
          <w:t>vladimir.michalek@ceproas.cz</w:t>
        </w:r>
      </w:hyperlink>
      <w:r w:rsidR="003671A5" w:rsidRPr="00C43308">
        <w:t>, 739 535 764</w:t>
      </w:r>
    </w:p>
    <w:p w:rsidR="008F5A9D" w:rsidRDefault="008F5A9D" w:rsidP="002C4E3C">
      <w:pPr>
        <w:tabs>
          <w:tab w:val="left" w:pos="2552"/>
        </w:tabs>
        <w:spacing w:after="0"/>
      </w:pPr>
      <w:r>
        <w:t>(dále jen „objednatel“)</w:t>
      </w:r>
    </w:p>
    <w:p w:rsidR="008F5A9D" w:rsidRDefault="008F5A9D" w:rsidP="002C4E3C">
      <w:pPr>
        <w:tabs>
          <w:tab w:val="left" w:pos="2552"/>
        </w:tabs>
        <w:spacing w:after="0"/>
      </w:pPr>
      <w:r>
        <w:t>a</w:t>
      </w:r>
    </w:p>
    <w:bookmarkStart w:id="2" w:name="Text2"/>
    <w:p w:rsidR="002C4E3C" w:rsidRPr="002C4E3C" w:rsidRDefault="002C4E3C" w:rsidP="002C4E3C">
      <w:pPr>
        <w:tabs>
          <w:tab w:val="left" w:pos="2552"/>
        </w:tabs>
        <w:spacing w:after="0"/>
        <w:rPr>
          <w:b/>
        </w:rPr>
      </w:pPr>
      <w:r w:rsidRPr="002C4E3C">
        <w:rPr>
          <w:b/>
          <w:highlight w:val="yellow"/>
        </w:rPr>
        <w:fldChar w:fldCharType="begin">
          <w:ffData>
            <w:name w:val="Text2"/>
            <w:enabled/>
            <w:calcOnExit w:val="0"/>
            <w:textInput/>
          </w:ffData>
        </w:fldChar>
      </w:r>
      <w:r w:rsidRPr="002C4E3C">
        <w:rPr>
          <w:b/>
          <w:highlight w:val="yellow"/>
        </w:rPr>
        <w:instrText xml:space="preserve"> FORMTEXT </w:instrText>
      </w:r>
      <w:r w:rsidRPr="002C4E3C">
        <w:rPr>
          <w:b/>
          <w:highlight w:val="yellow"/>
        </w:rPr>
      </w:r>
      <w:r w:rsidRPr="002C4E3C">
        <w:rPr>
          <w:b/>
          <w:highlight w:val="yellow"/>
        </w:rPr>
        <w:fldChar w:fldCharType="separate"/>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highlight w:val="yellow"/>
        </w:rPr>
        <w:fldChar w:fldCharType="end"/>
      </w:r>
      <w:bookmarkEnd w:id="2"/>
    </w:p>
    <w:p w:rsidR="00DA0BDE" w:rsidRDefault="008F5A9D" w:rsidP="002C4E3C">
      <w:pPr>
        <w:tabs>
          <w:tab w:val="left" w:pos="2552"/>
        </w:tabs>
        <w:spacing w:after="0"/>
      </w:pPr>
      <w:r>
        <w:t xml:space="preserve">se sídlem: </w:t>
      </w:r>
      <w:r w:rsidR="00DA0BDE">
        <w:tab/>
      </w:r>
      <w:r w:rsidR="00DA0BDE" w:rsidRPr="006C51F2">
        <w:rPr>
          <w:highlight w:val="yellow"/>
        </w:rPr>
        <w:fldChar w:fldCharType="begin">
          <w:ffData>
            <w:name w:val="Text3"/>
            <w:enabled/>
            <w:calcOnExit w:val="0"/>
            <w:textInput/>
          </w:ffData>
        </w:fldChar>
      </w:r>
      <w:bookmarkStart w:id="3" w:name="Text3"/>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3"/>
    </w:p>
    <w:p w:rsidR="00DA0BDE" w:rsidRDefault="008F5A9D" w:rsidP="002C4E3C">
      <w:pPr>
        <w:tabs>
          <w:tab w:val="left" w:pos="2552"/>
        </w:tabs>
        <w:spacing w:after="0"/>
      </w:pPr>
      <w:r>
        <w:t>IČ:</w:t>
      </w:r>
      <w:bookmarkStart w:id="4" w:name="Text4"/>
      <w:r w:rsidR="00DA0BDE">
        <w:tab/>
      </w:r>
      <w:r w:rsidR="00DA0BDE" w:rsidRPr="006C51F2">
        <w:rPr>
          <w:highlight w:val="yellow"/>
        </w:rPr>
        <w:fldChar w:fldCharType="begin">
          <w:ffData>
            <w:name w:val="Text4"/>
            <w:enabled/>
            <w:calcOnExit w:val="0"/>
            <w:textInput/>
          </w:ffData>
        </w:fldChar>
      </w:r>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4"/>
    </w:p>
    <w:p w:rsidR="00DA0BDE" w:rsidRDefault="008F5A9D" w:rsidP="002C4E3C">
      <w:pPr>
        <w:tabs>
          <w:tab w:val="left" w:pos="2552"/>
        </w:tabs>
        <w:spacing w:after="0"/>
      </w:pPr>
      <w:r>
        <w:t>DIČ:</w:t>
      </w:r>
      <w:r w:rsidR="00DA0BDE">
        <w:tab/>
      </w:r>
      <w:r w:rsidR="00DA0BDE" w:rsidRPr="006C51F2">
        <w:rPr>
          <w:highlight w:val="yellow"/>
        </w:rPr>
        <w:fldChar w:fldCharType="begin">
          <w:ffData>
            <w:name w:val="Text5"/>
            <w:enabled/>
            <w:calcOnExit w:val="0"/>
            <w:textInput/>
          </w:ffData>
        </w:fldChar>
      </w:r>
      <w:bookmarkStart w:id="5" w:name="Text5"/>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5"/>
    </w:p>
    <w:p w:rsidR="008F5A9D" w:rsidRDefault="008F5A9D" w:rsidP="002C4E3C">
      <w:pPr>
        <w:tabs>
          <w:tab w:val="left" w:pos="2552"/>
        </w:tabs>
        <w:spacing w:after="0"/>
      </w:pPr>
      <w:r>
        <w:t>č.</w:t>
      </w:r>
      <w:r w:rsidR="00AA1516">
        <w:t xml:space="preserve"> </w:t>
      </w:r>
      <w:r>
        <w:t>účtu:</w:t>
      </w:r>
      <w:r w:rsidR="00DA0BDE">
        <w:tab/>
      </w:r>
      <w:r w:rsidR="00DA0BDE" w:rsidRPr="006C51F2">
        <w:rPr>
          <w:highlight w:val="yellow"/>
        </w:rPr>
        <w:fldChar w:fldCharType="begin">
          <w:ffData>
            <w:name w:val="Text6"/>
            <w:enabled/>
            <w:calcOnExit w:val="0"/>
            <w:textInput/>
          </w:ffData>
        </w:fldChar>
      </w:r>
      <w:bookmarkStart w:id="6" w:name="Text6"/>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6"/>
      <w:r>
        <w:t xml:space="preserve"> </w:t>
      </w:r>
    </w:p>
    <w:p w:rsidR="008F5A9D" w:rsidRDefault="008F5A9D" w:rsidP="002C4E3C">
      <w:pPr>
        <w:tabs>
          <w:tab w:val="left" w:pos="2552"/>
        </w:tabs>
        <w:spacing w:after="0"/>
      </w:pPr>
      <w:r>
        <w:t>zapsaná:</w:t>
      </w:r>
      <w:r w:rsidR="00DA0BDE">
        <w:tab/>
      </w:r>
      <w:r w:rsidR="00DA0BDE" w:rsidRPr="006C51F2">
        <w:rPr>
          <w:highlight w:val="yellow"/>
        </w:rPr>
        <w:fldChar w:fldCharType="begin">
          <w:ffData>
            <w:name w:val="Text7"/>
            <w:enabled/>
            <w:calcOnExit w:val="0"/>
            <w:textInput/>
          </w:ffData>
        </w:fldChar>
      </w:r>
      <w:bookmarkStart w:id="7" w:name="Text7"/>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7"/>
      <w:r>
        <w:t xml:space="preserve"> </w:t>
      </w:r>
    </w:p>
    <w:p w:rsidR="00DA0BDE" w:rsidRDefault="008F5A9D" w:rsidP="002C4E3C">
      <w:pPr>
        <w:tabs>
          <w:tab w:val="left" w:pos="2552"/>
        </w:tabs>
        <w:spacing w:after="0"/>
      </w:pPr>
      <w:r>
        <w:t xml:space="preserve">jednající </w:t>
      </w:r>
      <w:r w:rsidR="00DA0BDE">
        <w:tab/>
      </w:r>
      <w:r w:rsidR="00DA0BDE" w:rsidRPr="006C51F2">
        <w:rPr>
          <w:highlight w:val="yellow"/>
        </w:rPr>
        <w:fldChar w:fldCharType="begin">
          <w:ffData>
            <w:name w:val="Text8"/>
            <w:enabled/>
            <w:calcOnExit w:val="0"/>
            <w:textInput/>
          </w:ffData>
        </w:fldChar>
      </w:r>
      <w:bookmarkStart w:id="8" w:name="Text8"/>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8"/>
    </w:p>
    <w:p w:rsidR="008F5A9D" w:rsidRDefault="008F5A9D" w:rsidP="002C4E3C">
      <w:pPr>
        <w:tabs>
          <w:tab w:val="left" w:pos="2552"/>
        </w:tabs>
        <w:spacing w:after="0"/>
      </w:pPr>
      <w:r>
        <w:t xml:space="preserve">oprávněni jednat v rámci uzavřené smlouvy ve věcech </w:t>
      </w:r>
    </w:p>
    <w:p w:rsidR="008F5A9D" w:rsidRDefault="008F5A9D" w:rsidP="002C4E3C">
      <w:pPr>
        <w:tabs>
          <w:tab w:val="left" w:pos="2552"/>
        </w:tabs>
        <w:spacing w:after="0"/>
      </w:pPr>
      <w:r>
        <w:t xml:space="preserve">smluvních:  </w:t>
      </w:r>
      <w:r w:rsidR="00DA0BDE">
        <w:tab/>
      </w:r>
      <w:r w:rsidR="00DA0BDE" w:rsidRPr="006C51F2">
        <w:rPr>
          <w:highlight w:val="yellow"/>
        </w:rPr>
        <w:fldChar w:fldCharType="begin">
          <w:ffData>
            <w:name w:val="Text9"/>
            <w:enabled/>
            <w:calcOnExit w:val="0"/>
            <w:textInput/>
          </w:ffData>
        </w:fldChar>
      </w:r>
      <w:bookmarkStart w:id="9" w:name="Text9"/>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9"/>
    </w:p>
    <w:p w:rsidR="008F5A9D" w:rsidRDefault="008F5A9D" w:rsidP="002C4E3C">
      <w:pPr>
        <w:tabs>
          <w:tab w:val="left" w:pos="2552"/>
        </w:tabs>
        <w:spacing w:after="0"/>
      </w:pPr>
      <w:r>
        <w:t>technických:</w:t>
      </w:r>
      <w:r w:rsidR="00DA0BDE">
        <w:tab/>
      </w:r>
      <w:r w:rsidR="00DA0BDE" w:rsidRPr="006C51F2">
        <w:rPr>
          <w:highlight w:val="yellow"/>
        </w:rPr>
        <w:fldChar w:fldCharType="begin">
          <w:ffData>
            <w:name w:val="Text10"/>
            <w:enabled/>
            <w:calcOnExit w:val="0"/>
            <w:textInput/>
          </w:ffData>
        </w:fldChar>
      </w:r>
      <w:bookmarkStart w:id="10" w:name="Text10"/>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10"/>
    </w:p>
    <w:p w:rsidR="008F5A9D" w:rsidRDefault="008F5A9D" w:rsidP="002C4E3C">
      <w:pPr>
        <w:tabs>
          <w:tab w:val="left" w:pos="2552"/>
        </w:tabs>
        <w:spacing w:after="0"/>
      </w:pPr>
      <w:r>
        <w:t>(dále jen „poskytovatel“)</w:t>
      </w:r>
    </w:p>
    <w:p w:rsidR="008F5A9D" w:rsidRDefault="008F5A9D" w:rsidP="008F5A9D"/>
    <w:p w:rsidR="008F5A9D" w:rsidRDefault="008F5A9D" w:rsidP="008F5A9D">
      <w:r>
        <w:t xml:space="preserve">Objednatel a poskytovatel (dále též „smluvní strany“) níže uvedeného dne, měsíce a roku uzavírají na základě </w:t>
      </w:r>
      <w:r w:rsidR="00633D18">
        <w:t>výběrového</w:t>
      </w:r>
      <w:r>
        <w:t xml:space="preserve"> řízení vyhlášeného objednatelem dne</w:t>
      </w:r>
      <w:r w:rsidR="00566133">
        <w:t xml:space="preserve"> </w:t>
      </w:r>
      <w:r w:rsidR="00566133" w:rsidRPr="006C51F2">
        <w:rPr>
          <w:highlight w:val="yellow"/>
        </w:rPr>
        <w:fldChar w:fldCharType="begin">
          <w:ffData>
            <w:name w:val="Text11"/>
            <w:enabled/>
            <w:calcOnExit w:val="0"/>
            <w:textInput/>
          </w:ffData>
        </w:fldChar>
      </w:r>
      <w:bookmarkStart w:id="11" w:name="Text11"/>
      <w:r w:rsidR="00566133" w:rsidRPr="006C51F2">
        <w:rPr>
          <w:highlight w:val="yellow"/>
        </w:rPr>
        <w:instrText xml:space="preserve"> FORMTEXT </w:instrText>
      </w:r>
      <w:r w:rsidR="00566133" w:rsidRPr="006C51F2">
        <w:rPr>
          <w:highlight w:val="yellow"/>
        </w:rPr>
      </w:r>
      <w:r w:rsidR="00566133" w:rsidRPr="006C51F2">
        <w:rPr>
          <w:highlight w:val="yellow"/>
        </w:rPr>
        <w:fldChar w:fldCharType="separate"/>
      </w:r>
      <w:r w:rsidR="00566133" w:rsidRPr="006C51F2">
        <w:rPr>
          <w:noProof/>
          <w:highlight w:val="yellow"/>
        </w:rPr>
        <w:t> </w:t>
      </w:r>
      <w:r w:rsidR="00566133" w:rsidRPr="006C51F2">
        <w:rPr>
          <w:noProof/>
          <w:highlight w:val="yellow"/>
        </w:rPr>
        <w:t> </w:t>
      </w:r>
      <w:r w:rsidR="00566133" w:rsidRPr="006C51F2">
        <w:rPr>
          <w:noProof/>
          <w:highlight w:val="yellow"/>
        </w:rPr>
        <w:t> </w:t>
      </w:r>
      <w:r w:rsidR="00566133" w:rsidRPr="006C51F2">
        <w:rPr>
          <w:noProof/>
          <w:highlight w:val="yellow"/>
        </w:rPr>
        <w:t> </w:t>
      </w:r>
      <w:r w:rsidR="00566133" w:rsidRPr="006C51F2">
        <w:rPr>
          <w:noProof/>
          <w:highlight w:val="yellow"/>
        </w:rPr>
        <w:t> </w:t>
      </w:r>
      <w:r w:rsidR="00566133" w:rsidRPr="006C51F2">
        <w:rPr>
          <w:highlight w:val="yellow"/>
        </w:rPr>
        <w:fldChar w:fldCharType="end"/>
      </w:r>
      <w:bookmarkEnd w:id="11"/>
      <w:r w:rsidR="00566133">
        <w:t xml:space="preserve"> </w:t>
      </w:r>
      <w:r>
        <w:t>pod e</w:t>
      </w:r>
      <w:r w:rsidR="00566133">
        <w:t xml:space="preserve">v. č. </w:t>
      </w:r>
      <w:r w:rsidR="00992009">
        <w:t>003/15</w:t>
      </w:r>
      <w:r w:rsidR="00566133">
        <w:t xml:space="preserve">/OCN tuto smlouvu </w:t>
      </w:r>
      <w:r w:rsidR="00992009">
        <w:t xml:space="preserve">o poskytnutí hardwarové podpory IBM zařízení </w:t>
      </w:r>
      <w:r>
        <w:t>(dále též jen „smlouva“):</w:t>
      </w:r>
    </w:p>
    <w:p w:rsidR="008F5A9D" w:rsidRDefault="008F5A9D" w:rsidP="00566133">
      <w:pPr>
        <w:pStyle w:val="lnek"/>
      </w:pPr>
      <w:bookmarkStart w:id="12" w:name="_Ref336258987"/>
      <w:r>
        <w:t>Předmět plnění a práva a povinnosti smluvních stran</w:t>
      </w:r>
      <w:bookmarkEnd w:id="12"/>
    </w:p>
    <w:p w:rsidR="008F5A9D" w:rsidRDefault="008F5A9D" w:rsidP="006929E9">
      <w:pPr>
        <w:pStyle w:val="Odstavec2"/>
      </w:pPr>
      <w:r>
        <w:t xml:space="preserve">Poskytovatel se na základě této smlouvy a v souladu s touto smlouvou zavazuje poskytovat objednateli </w:t>
      </w:r>
      <w:r w:rsidR="00992009">
        <w:t xml:space="preserve">hardwarovou (dále </w:t>
      </w:r>
      <w:r w:rsidR="00596991">
        <w:t>jen</w:t>
      </w:r>
      <w:r w:rsidR="00992009">
        <w:t xml:space="preserve"> </w:t>
      </w:r>
      <w:r w:rsidR="00596991">
        <w:t>„</w:t>
      </w:r>
      <w:r w:rsidR="00992009">
        <w:t>HW</w:t>
      </w:r>
      <w:r w:rsidR="00596991">
        <w:t>“</w:t>
      </w:r>
      <w:r w:rsidR="00992009">
        <w:t>)</w:t>
      </w:r>
      <w:r>
        <w:t xml:space="preserve"> podporu </w:t>
      </w:r>
      <w:r w:rsidR="00992009">
        <w:t>zařízení</w:t>
      </w:r>
      <w:r>
        <w:t xml:space="preserve"> objednatele vyjmenova</w:t>
      </w:r>
      <w:r w:rsidR="00566133">
        <w:t xml:space="preserve">ných v bodu </w:t>
      </w:r>
      <w:r w:rsidR="00BB4D4D">
        <w:fldChar w:fldCharType="begin"/>
      </w:r>
      <w:r w:rsidR="00BB4D4D">
        <w:instrText xml:space="preserve"> REF _Ref336258763 \r \h </w:instrText>
      </w:r>
      <w:r w:rsidR="00BB4D4D">
        <w:fldChar w:fldCharType="separate"/>
      </w:r>
      <w:r w:rsidR="005457CC">
        <w:t>1.2</w:t>
      </w:r>
      <w:r w:rsidR="00BB4D4D">
        <w:fldChar w:fldCharType="end"/>
      </w:r>
      <w:r w:rsidR="00566133">
        <w:t xml:space="preserve"> této smlouvy</w:t>
      </w:r>
      <w:r w:rsidR="00596991">
        <w:t xml:space="preserve"> (dále také jen „zařízení“)</w:t>
      </w:r>
      <w:r w:rsidR="00566133">
        <w:t>, a </w:t>
      </w:r>
      <w:r>
        <w:t xml:space="preserve">to v období </w:t>
      </w:r>
      <w:r w:rsidR="00992009">
        <w:t>danými v tabulkách č. 1 a 2.</w:t>
      </w:r>
      <w:r>
        <w:t xml:space="preserve"> Specifikace </w:t>
      </w:r>
      <w:r w:rsidR="00596991">
        <w:t xml:space="preserve"> předmětu plnění </w:t>
      </w:r>
      <w:r>
        <w:t>poskytované</w:t>
      </w:r>
      <w:r w:rsidR="00596991">
        <w:t>m</w:t>
      </w:r>
      <w:r>
        <w:t xml:space="preserve"> poskytovatelem podle a na základě této smlouvy je stanovena v bodu </w:t>
      </w:r>
      <w:r w:rsidR="00BB4D4D">
        <w:fldChar w:fldCharType="begin"/>
      </w:r>
      <w:r w:rsidR="00BB4D4D">
        <w:instrText xml:space="preserve"> REF _Ref336258763 \r \h </w:instrText>
      </w:r>
      <w:r w:rsidR="00BB4D4D">
        <w:fldChar w:fldCharType="separate"/>
      </w:r>
      <w:r w:rsidR="005457CC">
        <w:t>1.2</w:t>
      </w:r>
      <w:r w:rsidR="00BB4D4D">
        <w:fldChar w:fldCharType="end"/>
      </w:r>
      <w:r>
        <w:t xml:space="preserve"> a násl. této smlouvy. Objednatel se zavazuje zaplatit poskytovateli odměnu za řádné poskytování </w:t>
      </w:r>
      <w:r w:rsidR="00596991">
        <w:t>předmětu plnění</w:t>
      </w:r>
      <w:r>
        <w:t xml:space="preserve"> dle této smlouvy.</w:t>
      </w:r>
    </w:p>
    <w:p w:rsidR="008F5A9D" w:rsidRDefault="008F5A9D" w:rsidP="006929E9">
      <w:pPr>
        <w:pStyle w:val="Odstavec2"/>
      </w:pPr>
      <w:bookmarkStart w:id="13" w:name="_Ref336258763"/>
      <w:r>
        <w:t>Specifikace předmětu plnění:</w:t>
      </w:r>
      <w:bookmarkEnd w:id="13"/>
      <w:r>
        <w:t xml:space="preserve"> </w:t>
      </w:r>
    </w:p>
    <w:p w:rsidR="008F5A9D" w:rsidRDefault="008F5A9D" w:rsidP="00AA1516">
      <w:pPr>
        <w:pStyle w:val="normlnpod11"/>
        <w:ind w:left="851"/>
      </w:pPr>
      <w:r>
        <w:t>Předmětem plnění</w:t>
      </w:r>
      <w:r w:rsidR="00596991">
        <w:t xml:space="preserve"> </w:t>
      </w:r>
      <w:r>
        <w:t xml:space="preserve">poskytovatele je služba spočívající v poskytování </w:t>
      </w:r>
      <w:r w:rsidR="00992009">
        <w:t>HW</w:t>
      </w:r>
      <w:r>
        <w:t xml:space="preserve"> podpory</w:t>
      </w:r>
      <w:r w:rsidR="007A181C" w:rsidRPr="007A181C">
        <w:t xml:space="preserve"> </w:t>
      </w:r>
      <w:r w:rsidR="007A181C" w:rsidRPr="00FC5A63">
        <w:t>zařízení IBM garantovan</w:t>
      </w:r>
      <w:r w:rsidR="007A181C">
        <w:t>é</w:t>
      </w:r>
      <w:r w:rsidR="007A181C" w:rsidRPr="00FC5A63">
        <w:t xml:space="preserve"> výrobcem a poskytnut</w:t>
      </w:r>
      <w:r w:rsidR="007D2508">
        <w:t>é</w:t>
      </w:r>
      <w:r w:rsidR="007A181C" w:rsidRPr="00FC5A63">
        <w:t xml:space="preserve"> dle jeho standardů</w:t>
      </w:r>
      <w:r>
        <w:t xml:space="preserve"> pro následující </w:t>
      </w:r>
      <w:r w:rsidR="00992009">
        <w:t>zařízení</w:t>
      </w:r>
      <w:r>
        <w:t xml:space="preserve"> objednatele, v rozsahu uvedeném dále v tomto bodu:</w:t>
      </w:r>
    </w:p>
    <w:p w:rsidR="00992009" w:rsidRDefault="00992009" w:rsidP="00992009">
      <w:pPr>
        <w:jc w:val="left"/>
      </w:pPr>
      <w:r>
        <w:t>Tab. 1</w:t>
      </w:r>
      <w:r w:rsidRPr="002C7BB2">
        <w:t xml:space="preserve"> </w:t>
      </w:r>
    </w:p>
    <w:tbl>
      <w:tblPr>
        <w:tblW w:w="944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3131"/>
        <w:gridCol w:w="1417"/>
        <w:gridCol w:w="1418"/>
        <w:gridCol w:w="1332"/>
        <w:gridCol w:w="1561"/>
      </w:tblGrid>
      <w:tr w:rsidR="00F46ECD" w:rsidRPr="0046162C" w:rsidTr="00AA1516">
        <w:trPr>
          <w:trHeight w:val="324"/>
        </w:trPr>
        <w:tc>
          <w:tcPr>
            <w:tcW w:w="582" w:type="dxa"/>
            <w:shd w:val="clear" w:color="333399" w:fill="538DD5"/>
          </w:tcPr>
          <w:p w:rsidR="00F46ECD" w:rsidRPr="0046162C" w:rsidRDefault="00F46ECD" w:rsidP="00F7313D">
            <w:pPr>
              <w:spacing w:after="0"/>
              <w:jc w:val="center"/>
              <w:rPr>
                <w:rFonts w:ascii="Calibri" w:hAnsi="Calibri"/>
                <w:b/>
                <w:bCs/>
                <w:color w:val="FFFFFF"/>
                <w:sz w:val="18"/>
                <w:szCs w:val="18"/>
              </w:rPr>
            </w:pPr>
          </w:p>
        </w:tc>
        <w:tc>
          <w:tcPr>
            <w:tcW w:w="3131" w:type="dxa"/>
            <w:shd w:val="clear" w:color="333399" w:fill="538DD5"/>
            <w:vAlign w:val="center"/>
            <w:hideMark/>
          </w:tcPr>
          <w:p w:rsidR="00F46ECD" w:rsidRPr="0046162C" w:rsidRDefault="00F46ECD" w:rsidP="00F7313D">
            <w:pPr>
              <w:spacing w:after="0"/>
              <w:jc w:val="center"/>
              <w:rPr>
                <w:rFonts w:ascii="Calibri" w:hAnsi="Calibri"/>
                <w:b/>
                <w:bCs/>
                <w:color w:val="FFFFFF"/>
                <w:sz w:val="18"/>
                <w:szCs w:val="18"/>
              </w:rPr>
            </w:pPr>
            <w:r w:rsidRPr="0046162C">
              <w:rPr>
                <w:rFonts w:ascii="Calibri" w:hAnsi="Calibri"/>
                <w:b/>
                <w:bCs/>
                <w:color w:val="FFFFFF"/>
                <w:sz w:val="18"/>
                <w:szCs w:val="18"/>
              </w:rPr>
              <w:t>Název</w:t>
            </w:r>
          </w:p>
        </w:tc>
        <w:tc>
          <w:tcPr>
            <w:tcW w:w="1417" w:type="dxa"/>
            <w:shd w:val="clear" w:color="333399" w:fill="538DD5"/>
            <w:vAlign w:val="center"/>
            <w:hideMark/>
          </w:tcPr>
          <w:p w:rsidR="00F46ECD" w:rsidRPr="0046162C" w:rsidRDefault="00F46ECD" w:rsidP="00F7313D">
            <w:pPr>
              <w:spacing w:after="0"/>
              <w:jc w:val="center"/>
              <w:rPr>
                <w:rFonts w:ascii="Calibri" w:hAnsi="Calibri"/>
                <w:b/>
                <w:bCs/>
                <w:color w:val="FFFFFF"/>
                <w:sz w:val="18"/>
                <w:szCs w:val="18"/>
              </w:rPr>
            </w:pPr>
            <w:r w:rsidRPr="0046162C">
              <w:rPr>
                <w:rFonts w:ascii="Calibri" w:hAnsi="Calibri"/>
                <w:b/>
                <w:bCs/>
                <w:color w:val="FFFFFF"/>
                <w:sz w:val="18"/>
                <w:szCs w:val="18"/>
              </w:rPr>
              <w:t>Typové označení</w:t>
            </w:r>
          </w:p>
        </w:tc>
        <w:tc>
          <w:tcPr>
            <w:tcW w:w="1418" w:type="dxa"/>
            <w:shd w:val="clear" w:color="333399" w:fill="538DD5"/>
            <w:vAlign w:val="center"/>
            <w:hideMark/>
          </w:tcPr>
          <w:p w:rsidR="00F46ECD" w:rsidRPr="0046162C" w:rsidRDefault="00F46ECD" w:rsidP="00F7313D">
            <w:pPr>
              <w:spacing w:after="0"/>
              <w:jc w:val="center"/>
              <w:rPr>
                <w:rFonts w:ascii="Calibri" w:hAnsi="Calibri"/>
                <w:b/>
                <w:bCs/>
                <w:color w:val="FFFFFF"/>
                <w:sz w:val="18"/>
                <w:szCs w:val="18"/>
              </w:rPr>
            </w:pPr>
            <w:r w:rsidRPr="0046162C">
              <w:rPr>
                <w:rFonts w:ascii="Calibri" w:hAnsi="Calibri"/>
                <w:b/>
                <w:bCs/>
                <w:color w:val="FFFFFF"/>
                <w:sz w:val="18"/>
                <w:szCs w:val="18"/>
              </w:rPr>
              <w:t>Service Number</w:t>
            </w:r>
          </w:p>
        </w:tc>
        <w:tc>
          <w:tcPr>
            <w:tcW w:w="1332" w:type="dxa"/>
            <w:shd w:val="clear" w:color="333399" w:fill="538DD5"/>
            <w:vAlign w:val="center"/>
            <w:hideMark/>
          </w:tcPr>
          <w:p w:rsidR="00F46ECD" w:rsidRPr="0046162C" w:rsidRDefault="00F46ECD" w:rsidP="00F7313D">
            <w:pPr>
              <w:spacing w:after="0"/>
              <w:jc w:val="center"/>
              <w:rPr>
                <w:rFonts w:ascii="Calibri" w:hAnsi="Calibri"/>
                <w:b/>
                <w:bCs/>
                <w:color w:val="FFFFFF"/>
                <w:sz w:val="18"/>
                <w:szCs w:val="18"/>
              </w:rPr>
            </w:pPr>
            <w:r w:rsidRPr="0046162C">
              <w:rPr>
                <w:rFonts w:ascii="Calibri" w:hAnsi="Calibri"/>
                <w:b/>
                <w:bCs/>
                <w:color w:val="FFFFFF"/>
                <w:sz w:val="18"/>
                <w:szCs w:val="18"/>
              </w:rPr>
              <w:t>začátek podpory</w:t>
            </w:r>
          </w:p>
        </w:tc>
        <w:tc>
          <w:tcPr>
            <w:tcW w:w="1561" w:type="dxa"/>
            <w:shd w:val="clear" w:color="333399" w:fill="538DD5"/>
            <w:vAlign w:val="center"/>
            <w:hideMark/>
          </w:tcPr>
          <w:p w:rsidR="00F46ECD" w:rsidRPr="0046162C" w:rsidRDefault="00F46ECD" w:rsidP="00F7313D">
            <w:pPr>
              <w:spacing w:after="0"/>
              <w:jc w:val="center"/>
              <w:rPr>
                <w:rFonts w:ascii="Calibri" w:hAnsi="Calibri"/>
                <w:b/>
                <w:bCs/>
                <w:color w:val="FFFFFF"/>
                <w:sz w:val="18"/>
                <w:szCs w:val="18"/>
              </w:rPr>
            </w:pPr>
            <w:r w:rsidRPr="0046162C">
              <w:rPr>
                <w:rFonts w:ascii="Calibri" w:hAnsi="Calibri"/>
                <w:b/>
                <w:bCs/>
                <w:color w:val="FFFFFF"/>
                <w:sz w:val="18"/>
                <w:szCs w:val="18"/>
              </w:rPr>
              <w:t>konec podpory</w:t>
            </w:r>
          </w:p>
        </w:tc>
      </w:tr>
      <w:tr w:rsidR="00F46ECD" w:rsidRPr="0046162C" w:rsidTr="00AA1516">
        <w:trPr>
          <w:trHeight w:val="288"/>
        </w:trPr>
        <w:tc>
          <w:tcPr>
            <w:tcW w:w="582" w:type="dxa"/>
          </w:tcPr>
          <w:p w:rsidR="00F46ECD" w:rsidRPr="002B2655" w:rsidRDefault="00F46ECD" w:rsidP="00F7313D">
            <w:pPr>
              <w:spacing w:after="0"/>
              <w:jc w:val="left"/>
              <w:rPr>
                <w:rFonts w:ascii="Calibri" w:hAnsi="Calibri" w:cs="Calibri"/>
                <w:color w:val="000000"/>
                <w:sz w:val="18"/>
                <w:szCs w:val="18"/>
              </w:rPr>
            </w:pPr>
            <w:r>
              <w:rPr>
                <w:rFonts w:ascii="Calibri" w:hAnsi="Calibri" w:cs="Calibri"/>
                <w:color w:val="000000"/>
                <w:sz w:val="18"/>
                <w:szCs w:val="18"/>
              </w:rPr>
              <w:t>1.</w:t>
            </w:r>
          </w:p>
        </w:tc>
        <w:tc>
          <w:tcPr>
            <w:tcW w:w="3131" w:type="dxa"/>
            <w:shd w:val="clear" w:color="auto" w:fill="auto"/>
            <w:noWrap/>
            <w:vAlign w:val="bottom"/>
            <w:hideMark/>
          </w:tcPr>
          <w:p w:rsidR="00F46ECD" w:rsidRPr="002B2655" w:rsidRDefault="00F46ECD" w:rsidP="00F7313D">
            <w:pPr>
              <w:spacing w:after="0"/>
              <w:jc w:val="left"/>
              <w:rPr>
                <w:rFonts w:ascii="Calibri" w:hAnsi="Calibri" w:cs="Calibri"/>
                <w:color w:val="000000"/>
                <w:sz w:val="18"/>
                <w:szCs w:val="18"/>
              </w:rPr>
            </w:pPr>
            <w:r w:rsidRPr="002B2655">
              <w:rPr>
                <w:rFonts w:ascii="Calibri" w:hAnsi="Calibri" w:cs="Calibri"/>
                <w:color w:val="000000"/>
                <w:sz w:val="18"/>
                <w:szCs w:val="18"/>
              </w:rPr>
              <w:t>BLADECENTER CHASSIS H</w:t>
            </w:r>
          </w:p>
        </w:tc>
        <w:tc>
          <w:tcPr>
            <w:tcW w:w="1417" w:type="dxa"/>
            <w:shd w:val="clear" w:color="auto" w:fill="auto"/>
            <w:noWrap/>
            <w:vAlign w:val="bottom"/>
            <w:hideMark/>
          </w:tcPr>
          <w:p w:rsidR="00F46ECD" w:rsidRPr="002B2655" w:rsidRDefault="00F46ECD" w:rsidP="00F7313D">
            <w:pPr>
              <w:spacing w:after="0"/>
              <w:jc w:val="center"/>
              <w:rPr>
                <w:rFonts w:ascii="Calibri" w:hAnsi="Calibri" w:cs="Calibri"/>
                <w:color w:val="000000"/>
                <w:sz w:val="18"/>
                <w:szCs w:val="18"/>
              </w:rPr>
            </w:pPr>
            <w:r w:rsidRPr="002B2655">
              <w:rPr>
                <w:rFonts w:ascii="Calibri" w:hAnsi="Calibri" w:cs="Calibri"/>
                <w:color w:val="000000"/>
                <w:sz w:val="18"/>
                <w:szCs w:val="18"/>
              </w:rPr>
              <w:t>88524XG</w:t>
            </w:r>
          </w:p>
        </w:tc>
        <w:tc>
          <w:tcPr>
            <w:tcW w:w="1418" w:type="dxa"/>
            <w:shd w:val="clear" w:color="auto" w:fill="auto"/>
            <w:noWrap/>
            <w:vAlign w:val="bottom"/>
            <w:hideMark/>
          </w:tcPr>
          <w:p w:rsidR="00F46ECD" w:rsidRPr="002B2655" w:rsidRDefault="00F46ECD" w:rsidP="00F7313D">
            <w:pPr>
              <w:spacing w:after="0"/>
              <w:jc w:val="center"/>
              <w:rPr>
                <w:rFonts w:ascii="Calibri" w:hAnsi="Calibri" w:cs="Calibri"/>
                <w:color w:val="000000"/>
                <w:sz w:val="18"/>
                <w:szCs w:val="18"/>
              </w:rPr>
            </w:pPr>
            <w:r w:rsidRPr="002B2655">
              <w:rPr>
                <w:rFonts w:ascii="Calibri" w:hAnsi="Calibri" w:cs="Calibri"/>
                <w:color w:val="000000"/>
                <w:sz w:val="18"/>
                <w:szCs w:val="18"/>
              </w:rPr>
              <w:t>99B7412</w:t>
            </w:r>
          </w:p>
        </w:tc>
        <w:tc>
          <w:tcPr>
            <w:tcW w:w="1332" w:type="dxa"/>
            <w:shd w:val="clear" w:color="auto" w:fill="auto"/>
            <w:vAlign w:val="bottom"/>
            <w:hideMark/>
          </w:tcPr>
          <w:p w:rsidR="00F46ECD" w:rsidRPr="002B2655" w:rsidRDefault="00F46ECD" w:rsidP="00F7313D">
            <w:pPr>
              <w:spacing w:after="0"/>
              <w:jc w:val="center"/>
              <w:rPr>
                <w:rFonts w:ascii="Calibri" w:hAnsi="Calibri" w:cs="Calibri"/>
                <w:sz w:val="18"/>
                <w:szCs w:val="18"/>
              </w:rPr>
            </w:pPr>
            <w:r w:rsidRPr="002B2655">
              <w:rPr>
                <w:rFonts w:ascii="Calibri" w:hAnsi="Calibri" w:cs="Calibri"/>
                <w:sz w:val="18"/>
                <w:szCs w:val="18"/>
              </w:rPr>
              <w:t>16.2.2015</w:t>
            </w:r>
          </w:p>
        </w:tc>
        <w:tc>
          <w:tcPr>
            <w:tcW w:w="1561" w:type="dxa"/>
            <w:shd w:val="clear" w:color="auto" w:fill="auto"/>
            <w:vAlign w:val="bottom"/>
            <w:hideMark/>
          </w:tcPr>
          <w:p w:rsidR="00F46ECD" w:rsidRPr="002B2655" w:rsidRDefault="00F46ECD" w:rsidP="00F7313D">
            <w:pPr>
              <w:spacing w:after="0"/>
              <w:jc w:val="center"/>
              <w:rPr>
                <w:rFonts w:ascii="Calibri" w:hAnsi="Calibri" w:cs="Calibri"/>
                <w:sz w:val="18"/>
                <w:szCs w:val="18"/>
              </w:rPr>
            </w:pPr>
            <w:r w:rsidRPr="002B2655">
              <w:rPr>
                <w:rFonts w:ascii="Calibri" w:hAnsi="Calibri" w:cs="Calibri"/>
                <w:sz w:val="18"/>
                <w:szCs w:val="18"/>
              </w:rPr>
              <w:t>15.2.2016</w:t>
            </w:r>
          </w:p>
        </w:tc>
      </w:tr>
      <w:tr w:rsidR="00F46ECD" w:rsidRPr="0046162C" w:rsidTr="00AA1516">
        <w:trPr>
          <w:trHeight w:val="288"/>
        </w:trPr>
        <w:tc>
          <w:tcPr>
            <w:tcW w:w="582" w:type="dxa"/>
          </w:tcPr>
          <w:p w:rsidR="00F46ECD" w:rsidRPr="002B2655" w:rsidRDefault="00F46ECD" w:rsidP="00F7313D">
            <w:pPr>
              <w:spacing w:after="0"/>
              <w:jc w:val="left"/>
              <w:rPr>
                <w:rFonts w:ascii="Calibri" w:hAnsi="Calibri" w:cs="Calibri"/>
                <w:color w:val="000000"/>
                <w:sz w:val="18"/>
                <w:szCs w:val="18"/>
              </w:rPr>
            </w:pPr>
            <w:r>
              <w:rPr>
                <w:rFonts w:ascii="Calibri" w:hAnsi="Calibri" w:cs="Calibri"/>
                <w:color w:val="000000"/>
                <w:sz w:val="18"/>
                <w:szCs w:val="18"/>
              </w:rPr>
              <w:t>2.</w:t>
            </w:r>
          </w:p>
        </w:tc>
        <w:tc>
          <w:tcPr>
            <w:tcW w:w="3131" w:type="dxa"/>
            <w:shd w:val="clear" w:color="auto" w:fill="auto"/>
            <w:noWrap/>
            <w:vAlign w:val="bottom"/>
            <w:hideMark/>
          </w:tcPr>
          <w:p w:rsidR="00F46ECD" w:rsidRPr="002B2655" w:rsidRDefault="00F46ECD" w:rsidP="00F7313D">
            <w:pPr>
              <w:spacing w:after="0"/>
              <w:jc w:val="left"/>
              <w:rPr>
                <w:rFonts w:ascii="Calibri" w:hAnsi="Calibri" w:cs="Calibri"/>
                <w:color w:val="000000"/>
                <w:sz w:val="18"/>
                <w:szCs w:val="18"/>
              </w:rPr>
            </w:pPr>
            <w:r w:rsidRPr="002B2655">
              <w:rPr>
                <w:rFonts w:ascii="Calibri" w:hAnsi="Calibri" w:cs="Calibri"/>
                <w:color w:val="000000"/>
                <w:sz w:val="18"/>
                <w:szCs w:val="18"/>
              </w:rPr>
              <w:t xml:space="preserve">Storwize 7000 </w:t>
            </w:r>
          </w:p>
        </w:tc>
        <w:tc>
          <w:tcPr>
            <w:tcW w:w="1417" w:type="dxa"/>
            <w:shd w:val="clear" w:color="auto" w:fill="auto"/>
            <w:noWrap/>
            <w:vAlign w:val="bottom"/>
            <w:hideMark/>
          </w:tcPr>
          <w:p w:rsidR="00F46ECD" w:rsidRPr="002B2655" w:rsidRDefault="00F46ECD" w:rsidP="00F7313D">
            <w:pPr>
              <w:spacing w:after="0"/>
              <w:jc w:val="center"/>
              <w:rPr>
                <w:rFonts w:ascii="Calibri" w:hAnsi="Calibri" w:cs="Calibri"/>
                <w:color w:val="000000"/>
                <w:sz w:val="18"/>
                <w:szCs w:val="18"/>
              </w:rPr>
            </w:pPr>
            <w:r w:rsidRPr="002B2655">
              <w:rPr>
                <w:rFonts w:ascii="Calibri" w:hAnsi="Calibri" w:cs="Calibri"/>
                <w:color w:val="000000"/>
                <w:sz w:val="18"/>
                <w:szCs w:val="18"/>
              </w:rPr>
              <w:t>2076/124</w:t>
            </w:r>
          </w:p>
        </w:tc>
        <w:tc>
          <w:tcPr>
            <w:tcW w:w="1418" w:type="dxa"/>
            <w:shd w:val="clear" w:color="auto" w:fill="auto"/>
            <w:vAlign w:val="bottom"/>
            <w:hideMark/>
          </w:tcPr>
          <w:p w:rsidR="00F46ECD" w:rsidRPr="002B2655" w:rsidRDefault="00F46ECD" w:rsidP="00F7313D">
            <w:pPr>
              <w:spacing w:after="0"/>
              <w:jc w:val="center"/>
              <w:rPr>
                <w:rFonts w:ascii="Calibri" w:hAnsi="Calibri" w:cs="Calibri"/>
                <w:color w:val="000000"/>
                <w:sz w:val="18"/>
                <w:szCs w:val="18"/>
              </w:rPr>
            </w:pPr>
            <w:r w:rsidRPr="002B2655">
              <w:rPr>
                <w:rFonts w:ascii="Calibri" w:hAnsi="Calibri" w:cs="Calibri"/>
                <w:color w:val="000000"/>
                <w:sz w:val="18"/>
                <w:szCs w:val="18"/>
              </w:rPr>
              <w:t>78N1856</w:t>
            </w:r>
          </w:p>
        </w:tc>
        <w:tc>
          <w:tcPr>
            <w:tcW w:w="1332" w:type="dxa"/>
            <w:shd w:val="clear" w:color="auto" w:fill="auto"/>
            <w:vAlign w:val="bottom"/>
            <w:hideMark/>
          </w:tcPr>
          <w:p w:rsidR="00F46ECD" w:rsidRPr="002B2655" w:rsidRDefault="00F46ECD" w:rsidP="00F7313D">
            <w:pPr>
              <w:spacing w:after="0"/>
              <w:jc w:val="center"/>
              <w:rPr>
                <w:rFonts w:ascii="Calibri" w:hAnsi="Calibri" w:cs="Calibri"/>
                <w:sz w:val="18"/>
                <w:szCs w:val="18"/>
              </w:rPr>
            </w:pPr>
            <w:r w:rsidRPr="002B2655">
              <w:rPr>
                <w:rFonts w:ascii="Calibri" w:hAnsi="Calibri" w:cs="Calibri"/>
                <w:sz w:val="18"/>
                <w:szCs w:val="18"/>
              </w:rPr>
              <w:t>16.2.2015</w:t>
            </w:r>
          </w:p>
        </w:tc>
        <w:tc>
          <w:tcPr>
            <w:tcW w:w="1561" w:type="dxa"/>
            <w:shd w:val="clear" w:color="auto" w:fill="auto"/>
            <w:vAlign w:val="bottom"/>
            <w:hideMark/>
          </w:tcPr>
          <w:p w:rsidR="00F46ECD" w:rsidRPr="002B2655" w:rsidRDefault="00F46ECD" w:rsidP="00F7313D">
            <w:pPr>
              <w:spacing w:after="0"/>
              <w:jc w:val="center"/>
              <w:rPr>
                <w:rFonts w:ascii="Calibri" w:hAnsi="Calibri" w:cs="Calibri"/>
                <w:sz w:val="18"/>
                <w:szCs w:val="18"/>
              </w:rPr>
            </w:pPr>
            <w:r w:rsidRPr="002B2655">
              <w:rPr>
                <w:rFonts w:ascii="Calibri" w:hAnsi="Calibri" w:cs="Calibri"/>
                <w:sz w:val="18"/>
                <w:szCs w:val="18"/>
              </w:rPr>
              <w:t>15.2.2016</w:t>
            </w:r>
          </w:p>
        </w:tc>
      </w:tr>
      <w:tr w:rsidR="00F46ECD" w:rsidRPr="0046162C" w:rsidTr="00AA1516">
        <w:trPr>
          <w:trHeight w:val="288"/>
        </w:trPr>
        <w:tc>
          <w:tcPr>
            <w:tcW w:w="582" w:type="dxa"/>
          </w:tcPr>
          <w:p w:rsidR="00F46ECD" w:rsidRPr="002B2655" w:rsidRDefault="00F46ECD" w:rsidP="00F7313D">
            <w:pPr>
              <w:spacing w:after="0"/>
              <w:jc w:val="left"/>
              <w:rPr>
                <w:rFonts w:ascii="Calibri" w:hAnsi="Calibri" w:cs="Calibri"/>
                <w:color w:val="000000"/>
                <w:sz w:val="18"/>
                <w:szCs w:val="18"/>
              </w:rPr>
            </w:pPr>
            <w:r>
              <w:rPr>
                <w:rFonts w:ascii="Calibri" w:hAnsi="Calibri" w:cs="Calibri"/>
                <w:color w:val="000000"/>
                <w:sz w:val="18"/>
                <w:szCs w:val="18"/>
              </w:rPr>
              <w:t>3.</w:t>
            </w:r>
          </w:p>
        </w:tc>
        <w:tc>
          <w:tcPr>
            <w:tcW w:w="3131" w:type="dxa"/>
            <w:shd w:val="clear" w:color="auto" w:fill="auto"/>
            <w:noWrap/>
            <w:vAlign w:val="bottom"/>
            <w:hideMark/>
          </w:tcPr>
          <w:p w:rsidR="00F46ECD" w:rsidRPr="002B2655" w:rsidRDefault="00F46ECD" w:rsidP="00F7313D">
            <w:pPr>
              <w:spacing w:after="0"/>
              <w:jc w:val="left"/>
              <w:rPr>
                <w:rFonts w:ascii="Calibri" w:hAnsi="Calibri" w:cs="Calibri"/>
                <w:color w:val="000000"/>
                <w:sz w:val="18"/>
                <w:szCs w:val="18"/>
              </w:rPr>
            </w:pPr>
            <w:r w:rsidRPr="002B2655">
              <w:rPr>
                <w:rFonts w:ascii="Calibri" w:hAnsi="Calibri" w:cs="Calibri"/>
                <w:color w:val="000000"/>
                <w:sz w:val="18"/>
                <w:szCs w:val="18"/>
              </w:rPr>
              <w:t xml:space="preserve">Storwize 7000 </w:t>
            </w:r>
          </w:p>
        </w:tc>
        <w:tc>
          <w:tcPr>
            <w:tcW w:w="1417" w:type="dxa"/>
            <w:shd w:val="clear" w:color="auto" w:fill="auto"/>
            <w:noWrap/>
            <w:vAlign w:val="bottom"/>
            <w:hideMark/>
          </w:tcPr>
          <w:p w:rsidR="00F46ECD" w:rsidRPr="002B2655" w:rsidRDefault="00F46ECD" w:rsidP="00F7313D">
            <w:pPr>
              <w:spacing w:after="0"/>
              <w:jc w:val="center"/>
              <w:rPr>
                <w:rFonts w:ascii="Calibri" w:hAnsi="Calibri" w:cs="Calibri"/>
                <w:color w:val="000000"/>
                <w:sz w:val="18"/>
                <w:szCs w:val="18"/>
              </w:rPr>
            </w:pPr>
            <w:r w:rsidRPr="002B2655">
              <w:rPr>
                <w:rFonts w:ascii="Calibri" w:hAnsi="Calibri" w:cs="Calibri"/>
                <w:color w:val="000000"/>
                <w:sz w:val="18"/>
                <w:szCs w:val="18"/>
              </w:rPr>
              <w:t>2076/224</w:t>
            </w:r>
          </w:p>
        </w:tc>
        <w:tc>
          <w:tcPr>
            <w:tcW w:w="1418" w:type="dxa"/>
            <w:shd w:val="clear" w:color="auto" w:fill="auto"/>
            <w:vAlign w:val="bottom"/>
            <w:hideMark/>
          </w:tcPr>
          <w:p w:rsidR="00F46ECD" w:rsidRPr="002B2655" w:rsidRDefault="00F46ECD" w:rsidP="00F7313D">
            <w:pPr>
              <w:spacing w:after="0"/>
              <w:jc w:val="center"/>
              <w:rPr>
                <w:rFonts w:ascii="Calibri" w:hAnsi="Calibri" w:cs="Calibri"/>
                <w:color w:val="000000"/>
                <w:sz w:val="18"/>
                <w:szCs w:val="18"/>
              </w:rPr>
            </w:pPr>
            <w:r w:rsidRPr="002B2655">
              <w:rPr>
                <w:rFonts w:ascii="Calibri" w:hAnsi="Calibri" w:cs="Calibri"/>
                <w:color w:val="000000"/>
                <w:sz w:val="18"/>
                <w:szCs w:val="18"/>
              </w:rPr>
              <w:t>78N18FN</w:t>
            </w:r>
          </w:p>
        </w:tc>
        <w:tc>
          <w:tcPr>
            <w:tcW w:w="1332" w:type="dxa"/>
            <w:shd w:val="clear" w:color="auto" w:fill="auto"/>
            <w:vAlign w:val="bottom"/>
            <w:hideMark/>
          </w:tcPr>
          <w:p w:rsidR="00F46ECD" w:rsidRPr="002B2655" w:rsidRDefault="00F46ECD" w:rsidP="00F7313D">
            <w:pPr>
              <w:spacing w:after="0"/>
              <w:jc w:val="center"/>
              <w:rPr>
                <w:rFonts w:ascii="Calibri" w:hAnsi="Calibri" w:cs="Calibri"/>
                <w:sz w:val="18"/>
                <w:szCs w:val="18"/>
              </w:rPr>
            </w:pPr>
            <w:r w:rsidRPr="002B2655">
              <w:rPr>
                <w:rFonts w:ascii="Calibri" w:hAnsi="Calibri" w:cs="Calibri"/>
                <w:sz w:val="18"/>
                <w:szCs w:val="18"/>
              </w:rPr>
              <w:t>16.2.2015</w:t>
            </w:r>
          </w:p>
        </w:tc>
        <w:tc>
          <w:tcPr>
            <w:tcW w:w="1561" w:type="dxa"/>
            <w:shd w:val="clear" w:color="auto" w:fill="auto"/>
            <w:vAlign w:val="bottom"/>
            <w:hideMark/>
          </w:tcPr>
          <w:p w:rsidR="00F46ECD" w:rsidRPr="002B2655" w:rsidRDefault="00F46ECD" w:rsidP="00F7313D">
            <w:pPr>
              <w:spacing w:after="0"/>
              <w:jc w:val="center"/>
              <w:rPr>
                <w:rFonts w:ascii="Calibri" w:hAnsi="Calibri" w:cs="Calibri"/>
                <w:sz w:val="18"/>
                <w:szCs w:val="18"/>
              </w:rPr>
            </w:pPr>
            <w:r w:rsidRPr="002B2655">
              <w:rPr>
                <w:rFonts w:ascii="Calibri" w:hAnsi="Calibri" w:cs="Calibri"/>
                <w:sz w:val="18"/>
                <w:szCs w:val="18"/>
              </w:rPr>
              <w:t>15.2.2016</w:t>
            </w:r>
          </w:p>
        </w:tc>
      </w:tr>
    </w:tbl>
    <w:p w:rsidR="00992009" w:rsidRDefault="00992009" w:rsidP="00F7313D">
      <w:pPr>
        <w:spacing w:after="0"/>
      </w:pPr>
    </w:p>
    <w:p w:rsidR="00AA1516" w:rsidRDefault="00AA1516" w:rsidP="00992009"/>
    <w:p w:rsidR="00992009" w:rsidRPr="00410DEC" w:rsidRDefault="00992009" w:rsidP="00992009">
      <w:pPr>
        <w:rPr>
          <w:rStyle w:val="Siln"/>
          <w:b w:val="0"/>
          <w:bCs w:val="0"/>
        </w:rPr>
      </w:pPr>
      <w:r w:rsidRPr="00410DEC">
        <w:lastRenderedPageBreak/>
        <w:t>Tab. 2</w:t>
      </w:r>
    </w:p>
    <w:tbl>
      <w:tblPr>
        <w:tblW w:w="944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3006"/>
        <w:gridCol w:w="1417"/>
        <w:gridCol w:w="1378"/>
        <w:gridCol w:w="1457"/>
        <w:gridCol w:w="1601"/>
      </w:tblGrid>
      <w:tr w:rsidR="00F46ECD" w:rsidRPr="0046162C" w:rsidTr="00AA1516">
        <w:trPr>
          <w:trHeight w:val="492"/>
        </w:trPr>
        <w:tc>
          <w:tcPr>
            <w:tcW w:w="582" w:type="dxa"/>
            <w:shd w:val="clear" w:color="333399" w:fill="538DD5"/>
          </w:tcPr>
          <w:p w:rsidR="00F46ECD" w:rsidRPr="0046162C" w:rsidRDefault="00F46ECD" w:rsidP="00941FD5">
            <w:pPr>
              <w:spacing w:after="0"/>
              <w:jc w:val="center"/>
              <w:rPr>
                <w:rFonts w:ascii="Calibri" w:hAnsi="Calibri"/>
                <w:b/>
                <w:bCs/>
                <w:color w:val="FFFFFF"/>
                <w:sz w:val="18"/>
                <w:szCs w:val="18"/>
              </w:rPr>
            </w:pPr>
          </w:p>
        </w:tc>
        <w:tc>
          <w:tcPr>
            <w:tcW w:w="3006" w:type="dxa"/>
            <w:shd w:val="clear" w:color="333399" w:fill="538DD5"/>
            <w:vAlign w:val="center"/>
            <w:hideMark/>
          </w:tcPr>
          <w:p w:rsidR="00F46ECD" w:rsidRPr="0046162C" w:rsidRDefault="00F46ECD" w:rsidP="00941FD5">
            <w:pPr>
              <w:spacing w:after="0"/>
              <w:jc w:val="center"/>
              <w:rPr>
                <w:rFonts w:ascii="Calibri" w:hAnsi="Calibri"/>
                <w:b/>
                <w:bCs/>
                <w:color w:val="FFFFFF"/>
                <w:sz w:val="18"/>
                <w:szCs w:val="18"/>
              </w:rPr>
            </w:pPr>
            <w:r w:rsidRPr="0046162C">
              <w:rPr>
                <w:rFonts w:ascii="Calibri" w:hAnsi="Calibri"/>
                <w:b/>
                <w:bCs/>
                <w:color w:val="FFFFFF"/>
                <w:sz w:val="18"/>
                <w:szCs w:val="18"/>
              </w:rPr>
              <w:t>Název</w:t>
            </w:r>
          </w:p>
        </w:tc>
        <w:tc>
          <w:tcPr>
            <w:tcW w:w="1417" w:type="dxa"/>
            <w:shd w:val="clear" w:color="333399" w:fill="538DD5"/>
            <w:vAlign w:val="center"/>
            <w:hideMark/>
          </w:tcPr>
          <w:p w:rsidR="00F46ECD" w:rsidRPr="0046162C" w:rsidRDefault="00F46ECD" w:rsidP="00941FD5">
            <w:pPr>
              <w:spacing w:after="0"/>
              <w:jc w:val="center"/>
              <w:rPr>
                <w:rFonts w:ascii="Calibri" w:hAnsi="Calibri"/>
                <w:b/>
                <w:bCs/>
                <w:color w:val="FFFFFF"/>
                <w:sz w:val="18"/>
                <w:szCs w:val="18"/>
              </w:rPr>
            </w:pPr>
            <w:r w:rsidRPr="0046162C">
              <w:rPr>
                <w:rFonts w:ascii="Calibri" w:hAnsi="Calibri"/>
                <w:b/>
                <w:bCs/>
                <w:color w:val="FFFFFF"/>
                <w:sz w:val="18"/>
                <w:szCs w:val="18"/>
              </w:rPr>
              <w:t>Typové označení</w:t>
            </w:r>
          </w:p>
        </w:tc>
        <w:tc>
          <w:tcPr>
            <w:tcW w:w="1378" w:type="dxa"/>
            <w:shd w:val="clear" w:color="333399" w:fill="538DD5"/>
            <w:vAlign w:val="center"/>
            <w:hideMark/>
          </w:tcPr>
          <w:p w:rsidR="00F46ECD" w:rsidRPr="0046162C" w:rsidRDefault="00F46ECD" w:rsidP="00941FD5">
            <w:pPr>
              <w:spacing w:after="0"/>
              <w:jc w:val="center"/>
              <w:rPr>
                <w:rFonts w:ascii="Calibri" w:hAnsi="Calibri"/>
                <w:b/>
                <w:bCs/>
                <w:color w:val="FFFFFF"/>
                <w:sz w:val="18"/>
                <w:szCs w:val="18"/>
              </w:rPr>
            </w:pPr>
            <w:r w:rsidRPr="0046162C">
              <w:rPr>
                <w:rFonts w:ascii="Calibri" w:hAnsi="Calibri"/>
                <w:b/>
                <w:bCs/>
                <w:color w:val="FFFFFF"/>
                <w:sz w:val="18"/>
                <w:szCs w:val="18"/>
              </w:rPr>
              <w:t>Service Number</w:t>
            </w:r>
          </w:p>
        </w:tc>
        <w:tc>
          <w:tcPr>
            <w:tcW w:w="1457" w:type="dxa"/>
            <w:shd w:val="clear" w:color="333399" w:fill="538DD5"/>
            <w:vAlign w:val="center"/>
            <w:hideMark/>
          </w:tcPr>
          <w:p w:rsidR="00F46ECD" w:rsidRPr="0046162C" w:rsidRDefault="00F46ECD" w:rsidP="00941FD5">
            <w:pPr>
              <w:spacing w:after="0"/>
              <w:jc w:val="center"/>
              <w:rPr>
                <w:rFonts w:ascii="Calibri" w:hAnsi="Calibri"/>
                <w:b/>
                <w:bCs/>
                <w:color w:val="FFFFFF"/>
                <w:sz w:val="18"/>
                <w:szCs w:val="18"/>
              </w:rPr>
            </w:pPr>
            <w:r w:rsidRPr="0046162C">
              <w:rPr>
                <w:rFonts w:ascii="Calibri" w:hAnsi="Calibri"/>
                <w:b/>
                <w:bCs/>
                <w:color w:val="FFFFFF"/>
                <w:sz w:val="18"/>
                <w:szCs w:val="18"/>
              </w:rPr>
              <w:t>začátek podpory</w:t>
            </w:r>
          </w:p>
        </w:tc>
        <w:tc>
          <w:tcPr>
            <w:tcW w:w="1601" w:type="dxa"/>
            <w:shd w:val="clear" w:color="333399" w:fill="538DD5"/>
            <w:vAlign w:val="center"/>
            <w:hideMark/>
          </w:tcPr>
          <w:p w:rsidR="00F46ECD" w:rsidRPr="0046162C" w:rsidRDefault="00F46ECD" w:rsidP="00941FD5">
            <w:pPr>
              <w:spacing w:after="0"/>
              <w:jc w:val="center"/>
              <w:rPr>
                <w:rFonts w:ascii="Calibri" w:hAnsi="Calibri"/>
                <w:b/>
                <w:bCs/>
                <w:color w:val="FFFFFF"/>
                <w:sz w:val="18"/>
                <w:szCs w:val="18"/>
              </w:rPr>
            </w:pPr>
            <w:r w:rsidRPr="0046162C">
              <w:rPr>
                <w:rFonts w:ascii="Calibri" w:hAnsi="Calibri"/>
                <w:b/>
                <w:bCs/>
                <w:color w:val="FFFFFF"/>
                <w:sz w:val="18"/>
                <w:szCs w:val="18"/>
              </w:rPr>
              <w:t>konec podpory</w:t>
            </w:r>
          </w:p>
        </w:tc>
      </w:tr>
      <w:tr w:rsidR="00F46ECD" w:rsidRPr="0046162C" w:rsidTr="00AA1516">
        <w:trPr>
          <w:trHeight w:val="288"/>
        </w:trPr>
        <w:tc>
          <w:tcPr>
            <w:tcW w:w="582" w:type="dxa"/>
          </w:tcPr>
          <w:p w:rsidR="00F46ECD" w:rsidRPr="002B2655" w:rsidRDefault="00F46ECD" w:rsidP="00941FD5">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1.</w:t>
            </w:r>
          </w:p>
        </w:tc>
        <w:tc>
          <w:tcPr>
            <w:tcW w:w="3006" w:type="dxa"/>
            <w:shd w:val="clear" w:color="auto" w:fill="auto"/>
            <w:noWrap/>
            <w:vAlign w:val="center"/>
            <w:hideMark/>
          </w:tcPr>
          <w:p w:rsidR="00F46ECD" w:rsidRPr="002B2655" w:rsidRDefault="00F46ECD" w:rsidP="00941FD5">
            <w:pPr>
              <w:spacing w:after="0"/>
              <w:jc w:val="left"/>
              <w:rPr>
                <w:rFonts w:asciiTheme="minorHAnsi" w:hAnsiTheme="minorHAnsi" w:cstheme="minorHAnsi"/>
                <w:color w:val="000000"/>
                <w:sz w:val="18"/>
                <w:szCs w:val="18"/>
              </w:rPr>
            </w:pPr>
            <w:r w:rsidRPr="002B2655">
              <w:rPr>
                <w:rFonts w:asciiTheme="minorHAnsi" w:hAnsiTheme="minorHAnsi" w:cstheme="minorHAnsi"/>
                <w:color w:val="000000"/>
                <w:sz w:val="18"/>
                <w:szCs w:val="18"/>
              </w:rPr>
              <w:t>TS3200 TAPE LIBRARY</w:t>
            </w:r>
          </w:p>
        </w:tc>
        <w:tc>
          <w:tcPr>
            <w:tcW w:w="1417" w:type="dxa"/>
            <w:shd w:val="clear" w:color="auto" w:fill="auto"/>
            <w:noWrap/>
            <w:vAlign w:val="center"/>
            <w:hideMark/>
          </w:tcPr>
          <w:p w:rsidR="00F46ECD" w:rsidRPr="002B2655" w:rsidRDefault="00F46ECD" w:rsidP="00941FD5">
            <w:pPr>
              <w:spacing w:after="0"/>
              <w:jc w:val="center"/>
              <w:rPr>
                <w:rFonts w:asciiTheme="minorHAnsi" w:hAnsiTheme="minorHAnsi" w:cstheme="minorHAnsi"/>
                <w:color w:val="000000"/>
                <w:sz w:val="18"/>
                <w:szCs w:val="18"/>
              </w:rPr>
            </w:pPr>
            <w:r w:rsidRPr="002B2655">
              <w:rPr>
                <w:rFonts w:asciiTheme="minorHAnsi" w:hAnsiTheme="minorHAnsi" w:cstheme="minorHAnsi"/>
                <w:color w:val="000000"/>
                <w:sz w:val="18"/>
                <w:szCs w:val="18"/>
              </w:rPr>
              <w:t>3573/L4U</w:t>
            </w:r>
          </w:p>
        </w:tc>
        <w:tc>
          <w:tcPr>
            <w:tcW w:w="1378" w:type="dxa"/>
            <w:shd w:val="clear" w:color="auto" w:fill="auto"/>
            <w:noWrap/>
            <w:vAlign w:val="center"/>
            <w:hideMark/>
          </w:tcPr>
          <w:p w:rsidR="00F46ECD" w:rsidRPr="002B2655" w:rsidRDefault="00F46ECD" w:rsidP="00941FD5">
            <w:pPr>
              <w:spacing w:after="0"/>
              <w:jc w:val="center"/>
              <w:rPr>
                <w:rFonts w:asciiTheme="minorHAnsi" w:hAnsiTheme="minorHAnsi" w:cstheme="minorHAnsi"/>
                <w:color w:val="000000"/>
                <w:sz w:val="18"/>
                <w:szCs w:val="18"/>
              </w:rPr>
            </w:pPr>
            <w:r w:rsidRPr="002B2655">
              <w:rPr>
                <w:rFonts w:asciiTheme="minorHAnsi" w:hAnsiTheme="minorHAnsi" w:cstheme="minorHAnsi"/>
                <w:color w:val="000000"/>
                <w:sz w:val="18"/>
                <w:szCs w:val="18"/>
              </w:rPr>
              <w:t>78H2173</w:t>
            </w:r>
          </w:p>
        </w:tc>
        <w:tc>
          <w:tcPr>
            <w:tcW w:w="1457" w:type="dxa"/>
            <w:shd w:val="clear" w:color="auto" w:fill="auto"/>
            <w:vAlign w:val="center"/>
            <w:hideMark/>
          </w:tcPr>
          <w:p w:rsidR="00F46ECD" w:rsidRPr="002B2655" w:rsidRDefault="00F46ECD" w:rsidP="00941FD5">
            <w:pPr>
              <w:spacing w:after="0"/>
              <w:jc w:val="center"/>
              <w:rPr>
                <w:rFonts w:asciiTheme="minorHAnsi" w:hAnsiTheme="minorHAnsi" w:cstheme="minorHAnsi"/>
                <w:sz w:val="18"/>
                <w:szCs w:val="18"/>
              </w:rPr>
            </w:pPr>
            <w:r w:rsidRPr="002B2655">
              <w:rPr>
                <w:rFonts w:asciiTheme="minorHAnsi" w:hAnsiTheme="minorHAnsi" w:cstheme="minorHAnsi"/>
                <w:sz w:val="18"/>
                <w:szCs w:val="18"/>
              </w:rPr>
              <w:t>16.2.2015</w:t>
            </w:r>
          </w:p>
        </w:tc>
        <w:tc>
          <w:tcPr>
            <w:tcW w:w="1601" w:type="dxa"/>
            <w:shd w:val="clear" w:color="auto" w:fill="auto"/>
            <w:vAlign w:val="center"/>
            <w:hideMark/>
          </w:tcPr>
          <w:p w:rsidR="00F46ECD" w:rsidRPr="002B2655" w:rsidRDefault="00F46ECD" w:rsidP="00941FD5">
            <w:pPr>
              <w:spacing w:after="0"/>
              <w:jc w:val="center"/>
              <w:rPr>
                <w:rFonts w:asciiTheme="minorHAnsi" w:hAnsiTheme="minorHAnsi" w:cstheme="minorHAnsi"/>
                <w:sz w:val="18"/>
                <w:szCs w:val="18"/>
              </w:rPr>
            </w:pPr>
            <w:r w:rsidRPr="002B2655">
              <w:rPr>
                <w:rFonts w:asciiTheme="minorHAnsi" w:hAnsiTheme="minorHAnsi" w:cstheme="minorHAnsi"/>
                <w:sz w:val="18"/>
                <w:szCs w:val="18"/>
              </w:rPr>
              <w:t>15.2.2016</w:t>
            </w:r>
          </w:p>
        </w:tc>
      </w:tr>
      <w:tr w:rsidR="00F46ECD" w:rsidRPr="0046162C" w:rsidTr="00AA1516">
        <w:trPr>
          <w:trHeight w:val="288"/>
        </w:trPr>
        <w:tc>
          <w:tcPr>
            <w:tcW w:w="582" w:type="dxa"/>
          </w:tcPr>
          <w:p w:rsidR="00F46ECD" w:rsidRPr="002B2655" w:rsidRDefault="00F46ECD" w:rsidP="00941FD5">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2</w:t>
            </w:r>
          </w:p>
        </w:tc>
        <w:tc>
          <w:tcPr>
            <w:tcW w:w="3006" w:type="dxa"/>
            <w:shd w:val="clear" w:color="auto" w:fill="auto"/>
            <w:noWrap/>
            <w:vAlign w:val="center"/>
            <w:hideMark/>
          </w:tcPr>
          <w:p w:rsidR="00F46ECD" w:rsidRPr="002B2655" w:rsidRDefault="00F46ECD" w:rsidP="00941FD5">
            <w:pPr>
              <w:spacing w:after="0"/>
              <w:jc w:val="left"/>
              <w:rPr>
                <w:rFonts w:asciiTheme="minorHAnsi" w:hAnsiTheme="minorHAnsi" w:cstheme="minorHAnsi"/>
                <w:color w:val="000000"/>
                <w:sz w:val="18"/>
                <w:szCs w:val="18"/>
              </w:rPr>
            </w:pPr>
            <w:r w:rsidRPr="002B2655">
              <w:rPr>
                <w:rFonts w:asciiTheme="minorHAnsi" w:hAnsiTheme="minorHAnsi" w:cstheme="minorHAnsi"/>
                <w:color w:val="000000"/>
                <w:sz w:val="18"/>
                <w:szCs w:val="18"/>
              </w:rPr>
              <w:t>TS3200 TAPE LIBRARY</w:t>
            </w:r>
          </w:p>
        </w:tc>
        <w:tc>
          <w:tcPr>
            <w:tcW w:w="1417" w:type="dxa"/>
            <w:shd w:val="clear" w:color="auto" w:fill="auto"/>
            <w:noWrap/>
            <w:vAlign w:val="center"/>
            <w:hideMark/>
          </w:tcPr>
          <w:p w:rsidR="00F46ECD" w:rsidRPr="002B2655" w:rsidRDefault="00F46ECD" w:rsidP="00941FD5">
            <w:pPr>
              <w:spacing w:after="0"/>
              <w:jc w:val="center"/>
              <w:rPr>
                <w:rFonts w:asciiTheme="minorHAnsi" w:hAnsiTheme="minorHAnsi" w:cstheme="minorHAnsi"/>
                <w:color w:val="000000"/>
                <w:sz w:val="18"/>
                <w:szCs w:val="18"/>
              </w:rPr>
            </w:pPr>
            <w:r w:rsidRPr="002B2655">
              <w:rPr>
                <w:rFonts w:asciiTheme="minorHAnsi" w:hAnsiTheme="minorHAnsi" w:cstheme="minorHAnsi"/>
                <w:color w:val="000000"/>
                <w:sz w:val="18"/>
                <w:szCs w:val="18"/>
              </w:rPr>
              <w:t>3573/L4U</w:t>
            </w:r>
          </w:p>
        </w:tc>
        <w:tc>
          <w:tcPr>
            <w:tcW w:w="1378" w:type="dxa"/>
            <w:shd w:val="clear" w:color="auto" w:fill="auto"/>
            <w:noWrap/>
            <w:vAlign w:val="center"/>
            <w:hideMark/>
          </w:tcPr>
          <w:p w:rsidR="00F46ECD" w:rsidRPr="002B2655" w:rsidRDefault="00F46ECD" w:rsidP="00941FD5">
            <w:pPr>
              <w:spacing w:after="0"/>
              <w:jc w:val="center"/>
              <w:rPr>
                <w:rFonts w:asciiTheme="minorHAnsi" w:hAnsiTheme="minorHAnsi" w:cstheme="minorHAnsi"/>
                <w:color w:val="000000"/>
                <w:sz w:val="18"/>
                <w:szCs w:val="18"/>
              </w:rPr>
            </w:pPr>
            <w:r w:rsidRPr="002B2655">
              <w:rPr>
                <w:rFonts w:asciiTheme="minorHAnsi" w:hAnsiTheme="minorHAnsi" w:cstheme="minorHAnsi"/>
                <w:color w:val="000000"/>
                <w:sz w:val="18"/>
                <w:szCs w:val="18"/>
              </w:rPr>
              <w:t>78A0587</w:t>
            </w:r>
          </w:p>
        </w:tc>
        <w:tc>
          <w:tcPr>
            <w:tcW w:w="1457" w:type="dxa"/>
            <w:shd w:val="clear" w:color="auto" w:fill="auto"/>
            <w:vAlign w:val="center"/>
            <w:hideMark/>
          </w:tcPr>
          <w:p w:rsidR="00F46ECD" w:rsidRPr="002B2655" w:rsidRDefault="00F46ECD" w:rsidP="00941FD5">
            <w:pPr>
              <w:spacing w:after="0"/>
              <w:jc w:val="center"/>
              <w:rPr>
                <w:rFonts w:asciiTheme="minorHAnsi" w:hAnsiTheme="minorHAnsi" w:cstheme="minorHAnsi"/>
                <w:sz w:val="18"/>
                <w:szCs w:val="18"/>
              </w:rPr>
            </w:pPr>
            <w:r w:rsidRPr="002B2655">
              <w:rPr>
                <w:rFonts w:asciiTheme="minorHAnsi" w:hAnsiTheme="minorHAnsi" w:cstheme="minorHAnsi"/>
                <w:sz w:val="18"/>
                <w:szCs w:val="18"/>
              </w:rPr>
              <w:t>16.2.2015</w:t>
            </w:r>
          </w:p>
        </w:tc>
        <w:tc>
          <w:tcPr>
            <w:tcW w:w="1601" w:type="dxa"/>
            <w:shd w:val="clear" w:color="auto" w:fill="auto"/>
            <w:vAlign w:val="center"/>
            <w:hideMark/>
          </w:tcPr>
          <w:p w:rsidR="00F46ECD" w:rsidRPr="002B2655" w:rsidRDefault="00F46ECD" w:rsidP="00941FD5">
            <w:pPr>
              <w:spacing w:after="0"/>
              <w:jc w:val="center"/>
              <w:rPr>
                <w:rFonts w:asciiTheme="minorHAnsi" w:hAnsiTheme="minorHAnsi" w:cstheme="minorHAnsi"/>
                <w:sz w:val="18"/>
                <w:szCs w:val="18"/>
              </w:rPr>
            </w:pPr>
            <w:r w:rsidRPr="002B2655">
              <w:rPr>
                <w:rFonts w:asciiTheme="minorHAnsi" w:hAnsiTheme="minorHAnsi" w:cstheme="minorHAnsi"/>
                <w:sz w:val="18"/>
                <w:szCs w:val="18"/>
              </w:rPr>
              <w:t>15.2.2016</w:t>
            </w:r>
          </w:p>
        </w:tc>
      </w:tr>
      <w:tr w:rsidR="00F46ECD" w:rsidRPr="0046162C" w:rsidTr="00AA1516">
        <w:trPr>
          <w:trHeight w:val="288"/>
        </w:trPr>
        <w:tc>
          <w:tcPr>
            <w:tcW w:w="582" w:type="dxa"/>
          </w:tcPr>
          <w:p w:rsidR="00F46ECD" w:rsidRPr="002B2655" w:rsidRDefault="00F46ECD" w:rsidP="00941FD5">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3</w:t>
            </w:r>
          </w:p>
        </w:tc>
        <w:tc>
          <w:tcPr>
            <w:tcW w:w="3006" w:type="dxa"/>
            <w:shd w:val="clear" w:color="auto" w:fill="auto"/>
            <w:noWrap/>
            <w:vAlign w:val="center"/>
            <w:hideMark/>
          </w:tcPr>
          <w:p w:rsidR="00F46ECD" w:rsidRPr="002B2655" w:rsidRDefault="00F46ECD" w:rsidP="00941FD5">
            <w:pPr>
              <w:spacing w:after="0"/>
              <w:jc w:val="left"/>
              <w:rPr>
                <w:rFonts w:asciiTheme="minorHAnsi" w:hAnsiTheme="minorHAnsi" w:cstheme="minorHAnsi"/>
                <w:color w:val="000000"/>
                <w:sz w:val="18"/>
                <w:szCs w:val="18"/>
              </w:rPr>
            </w:pPr>
            <w:r w:rsidRPr="002B2655">
              <w:rPr>
                <w:rFonts w:asciiTheme="minorHAnsi" w:hAnsiTheme="minorHAnsi" w:cstheme="minorHAnsi"/>
                <w:color w:val="000000"/>
                <w:sz w:val="18"/>
                <w:szCs w:val="18"/>
              </w:rPr>
              <w:t>DS4800 DISK SYSTEM MOD 82</w:t>
            </w:r>
          </w:p>
        </w:tc>
        <w:tc>
          <w:tcPr>
            <w:tcW w:w="1417" w:type="dxa"/>
            <w:shd w:val="clear" w:color="auto" w:fill="auto"/>
            <w:noWrap/>
            <w:vAlign w:val="center"/>
            <w:hideMark/>
          </w:tcPr>
          <w:p w:rsidR="00F46ECD" w:rsidRPr="002B2655" w:rsidRDefault="00F46ECD" w:rsidP="00941FD5">
            <w:pPr>
              <w:spacing w:after="0"/>
              <w:jc w:val="center"/>
              <w:rPr>
                <w:rFonts w:asciiTheme="minorHAnsi" w:hAnsiTheme="minorHAnsi" w:cstheme="minorHAnsi"/>
                <w:color w:val="000000"/>
                <w:sz w:val="18"/>
                <w:szCs w:val="18"/>
              </w:rPr>
            </w:pPr>
            <w:r w:rsidRPr="002B2655">
              <w:rPr>
                <w:rFonts w:asciiTheme="minorHAnsi" w:hAnsiTheme="minorHAnsi" w:cstheme="minorHAnsi"/>
                <w:color w:val="000000"/>
                <w:sz w:val="18"/>
                <w:szCs w:val="18"/>
              </w:rPr>
              <w:t>1815/82A</w:t>
            </w:r>
          </w:p>
        </w:tc>
        <w:tc>
          <w:tcPr>
            <w:tcW w:w="1378" w:type="dxa"/>
            <w:shd w:val="clear" w:color="auto" w:fill="auto"/>
            <w:vAlign w:val="center"/>
            <w:hideMark/>
          </w:tcPr>
          <w:p w:rsidR="00F46ECD" w:rsidRPr="002B2655" w:rsidRDefault="00F46ECD" w:rsidP="00941FD5">
            <w:pPr>
              <w:spacing w:after="0"/>
              <w:jc w:val="center"/>
              <w:rPr>
                <w:rFonts w:asciiTheme="minorHAnsi" w:hAnsiTheme="minorHAnsi" w:cstheme="minorHAnsi"/>
                <w:color w:val="000000"/>
                <w:sz w:val="18"/>
                <w:szCs w:val="18"/>
              </w:rPr>
            </w:pPr>
            <w:r w:rsidRPr="002B2655">
              <w:rPr>
                <w:rFonts w:asciiTheme="minorHAnsi" w:hAnsiTheme="minorHAnsi" w:cstheme="minorHAnsi"/>
                <w:color w:val="000000"/>
                <w:sz w:val="18"/>
                <w:szCs w:val="18"/>
              </w:rPr>
              <w:t>130759W</w:t>
            </w:r>
          </w:p>
        </w:tc>
        <w:tc>
          <w:tcPr>
            <w:tcW w:w="1457" w:type="dxa"/>
            <w:shd w:val="clear" w:color="auto" w:fill="auto"/>
            <w:vAlign w:val="center"/>
            <w:hideMark/>
          </w:tcPr>
          <w:p w:rsidR="00F46ECD" w:rsidRPr="002B2655" w:rsidRDefault="00F46ECD" w:rsidP="00941FD5">
            <w:pPr>
              <w:spacing w:after="0"/>
              <w:jc w:val="center"/>
              <w:rPr>
                <w:rFonts w:asciiTheme="minorHAnsi" w:hAnsiTheme="minorHAnsi" w:cstheme="minorHAnsi"/>
                <w:sz w:val="18"/>
                <w:szCs w:val="18"/>
              </w:rPr>
            </w:pPr>
            <w:r w:rsidRPr="002B2655">
              <w:rPr>
                <w:rFonts w:asciiTheme="minorHAnsi" w:hAnsiTheme="minorHAnsi" w:cstheme="minorHAnsi"/>
                <w:sz w:val="18"/>
                <w:szCs w:val="18"/>
              </w:rPr>
              <w:t>16.2.2015</w:t>
            </w:r>
          </w:p>
        </w:tc>
        <w:tc>
          <w:tcPr>
            <w:tcW w:w="1601" w:type="dxa"/>
            <w:shd w:val="clear" w:color="auto" w:fill="auto"/>
            <w:vAlign w:val="center"/>
            <w:hideMark/>
          </w:tcPr>
          <w:p w:rsidR="00F46ECD" w:rsidRPr="002B2655" w:rsidRDefault="00F46ECD" w:rsidP="00941FD5">
            <w:pPr>
              <w:spacing w:after="0"/>
              <w:jc w:val="center"/>
              <w:rPr>
                <w:rFonts w:asciiTheme="minorHAnsi" w:hAnsiTheme="minorHAnsi" w:cstheme="minorHAnsi"/>
                <w:sz w:val="18"/>
                <w:szCs w:val="18"/>
              </w:rPr>
            </w:pPr>
            <w:r w:rsidRPr="002B2655">
              <w:rPr>
                <w:rFonts w:asciiTheme="minorHAnsi" w:hAnsiTheme="minorHAnsi" w:cstheme="minorHAnsi"/>
                <w:sz w:val="18"/>
                <w:szCs w:val="18"/>
              </w:rPr>
              <w:t>15.2.2016</w:t>
            </w:r>
          </w:p>
        </w:tc>
      </w:tr>
      <w:tr w:rsidR="00F46ECD" w:rsidRPr="0046162C" w:rsidTr="00AA1516">
        <w:trPr>
          <w:trHeight w:val="288"/>
        </w:trPr>
        <w:tc>
          <w:tcPr>
            <w:tcW w:w="582" w:type="dxa"/>
          </w:tcPr>
          <w:p w:rsidR="00F46ECD" w:rsidRPr="002B2655" w:rsidRDefault="00F46ECD" w:rsidP="00941FD5">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4</w:t>
            </w:r>
          </w:p>
        </w:tc>
        <w:tc>
          <w:tcPr>
            <w:tcW w:w="3006" w:type="dxa"/>
            <w:shd w:val="clear" w:color="auto" w:fill="auto"/>
            <w:noWrap/>
            <w:vAlign w:val="center"/>
            <w:hideMark/>
          </w:tcPr>
          <w:p w:rsidR="00F46ECD" w:rsidRPr="002B2655" w:rsidRDefault="00F46ECD" w:rsidP="00941FD5">
            <w:pPr>
              <w:spacing w:after="0"/>
              <w:jc w:val="left"/>
              <w:rPr>
                <w:rFonts w:asciiTheme="minorHAnsi" w:hAnsiTheme="minorHAnsi" w:cstheme="minorHAnsi"/>
                <w:color w:val="000000"/>
                <w:sz w:val="18"/>
                <w:szCs w:val="18"/>
              </w:rPr>
            </w:pPr>
            <w:r w:rsidRPr="002B2655">
              <w:rPr>
                <w:rFonts w:asciiTheme="minorHAnsi" w:hAnsiTheme="minorHAnsi" w:cstheme="minorHAnsi"/>
                <w:color w:val="000000"/>
                <w:sz w:val="18"/>
                <w:szCs w:val="18"/>
              </w:rPr>
              <w:t>PS702 8406 71Y</w:t>
            </w:r>
          </w:p>
        </w:tc>
        <w:tc>
          <w:tcPr>
            <w:tcW w:w="1417" w:type="dxa"/>
            <w:shd w:val="clear" w:color="auto" w:fill="auto"/>
            <w:noWrap/>
            <w:vAlign w:val="center"/>
            <w:hideMark/>
          </w:tcPr>
          <w:p w:rsidR="00F46ECD" w:rsidRPr="002B2655" w:rsidRDefault="00F46ECD" w:rsidP="00941FD5">
            <w:pPr>
              <w:spacing w:after="0"/>
              <w:jc w:val="center"/>
              <w:rPr>
                <w:rFonts w:asciiTheme="minorHAnsi" w:hAnsiTheme="minorHAnsi" w:cstheme="minorHAnsi"/>
                <w:color w:val="000000"/>
                <w:sz w:val="18"/>
                <w:szCs w:val="18"/>
              </w:rPr>
            </w:pPr>
            <w:r w:rsidRPr="002B2655">
              <w:rPr>
                <w:rFonts w:asciiTheme="minorHAnsi" w:hAnsiTheme="minorHAnsi" w:cstheme="minorHAnsi"/>
                <w:color w:val="000000"/>
                <w:sz w:val="18"/>
                <w:szCs w:val="18"/>
              </w:rPr>
              <w:t>8406/71Y</w:t>
            </w:r>
          </w:p>
        </w:tc>
        <w:tc>
          <w:tcPr>
            <w:tcW w:w="1378" w:type="dxa"/>
            <w:shd w:val="clear" w:color="auto" w:fill="auto"/>
            <w:noWrap/>
            <w:vAlign w:val="center"/>
            <w:hideMark/>
          </w:tcPr>
          <w:p w:rsidR="00F46ECD" w:rsidRPr="002B2655" w:rsidRDefault="00F46ECD" w:rsidP="00941FD5">
            <w:pPr>
              <w:spacing w:after="0"/>
              <w:jc w:val="center"/>
              <w:rPr>
                <w:rFonts w:asciiTheme="minorHAnsi" w:hAnsiTheme="minorHAnsi" w:cstheme="minorHAnsi"/>
                <w:sz w:val="18"/>
                <w:szCs w:val="18"/>
              </w:rPr>
            </w:pPr>
            <w:r w:rsidRPr="002B2655">
              <w:rPr>
                <w:rFonts w:asciiTheme="minorHAnsi" w:hAnsiTheme="minorHAnsi" w:cstheme="minorHAnsi"/>
                <w:sz w:val="18"/>
                <w:szCs w:val="18"/>
              </w:rPr>
              <w:t>060910B</w:t>
            </w:r>
          </w:p>
        </w:tc>
        <w:tc>
          <w:tcPr>
            <w:tcW w:w="1457" w:type="dxa"/>
            <w:shd w:val="clear" w:color="auto" w:fill="auto"/>
            <w:noWrap/>
            <w:vAlign w:val="center"/>
            <w:hideMark/>
          </w:tcPr>
          <w:p w:rsidR="00F46ECD" w:rsidRPr="002B2655" w:rsidRDefault="00AA1516" w:rsidP="00941FD5">
            <w:pPr>
              <w:spacing w:after="0"/>
              <w:jc w:val="center"/>
              <w:rPr>
                <w:rFonts w:asciiTheme="minorHAnsi" w:hAnsiTheme="minorHAnsi" w:cstheme="minorHAnsi"/>
                <w:color w:val="000000"/>
                <w:sz w:val="18"/>
                <w:szCs w:val="18"/>
              </w:rPr>
            </w:pPr>
            <w:r>
              <w:rPr>
                <w:rFonts w:asciiTheme="minorHAnsi" w:hAnsiTheme="minorHAnsi" w:cstheme="minorHAnsi"/>
                <w:color w:val="000000"/>
                <w:sz w:val="18"/>
                <w:szCs w:val="18"/>
              </w:rPr>
              <w:t>podpisem sml.</w:t>
            </w:r>
          </w:p>
        </w:tc>
        <w:tc>
          <w:tcPr>
            <w:tcW w:w="1601" w:type="dxa"/>
            <w:shd w:val="clear" w:color="auto" w:fill="auto"/>
            <w:vAlign w:val="center"/>
            <w:hideMark/>
          </w:tcPr>
          <w:p w:rsidR="00F46ECD" w:rsidRPr="002B2655" w:rsidRDefault="00F46ECD" w:rsidP="00941FD5">
            <w:pPr>
              <w:spacing w:after="0"/>
              <w:jc w:val="center"/>
              <w:rPr>
                <w:rFonts w:asciiTheme="minorHAnsi" w:hAnsiTheme="minorHAnsi" w:cstheme="minorHAnsi"/>
                <w:sz w:val="18"/>
                <w:szCs w:val="18"/>
              </w:rPr>
            </w:pPr>
            <w:r w:rsidRPr="002B2655">
              <w:rPr>
                <w:rFonts w:asciiTheme="minorHAnsi" w:hAnsiTheme="minorHAnsi" w:cstheme="minorHAnsi"/>
                <w:sz w:val="18"/>
                <w:szCs w:val="18"/>
              </w:rPr>
              <w:t>15.2.2016</w:t>
            </w:r>
          </w:p>
        </w:tc>
      </w:tr>
      <w:tr w:rsidR="00F46ECD" w:rsidRPr="0046162C" w:rsidTr="00AA1516">
        <w:trPr>
          <w:trHeight w:val="288"/>
        </w:trPr>
        <w:tc>
          <w:tcPr>
            <w:tcW w:w="582" w:type="dxa"/>
          </w:tcPr>
          <w:p w:rsidR="00F46ECD" w:rsidRPr="002B2655" w:rsidRDefault="00F46ECD" w:rsidP="00941FD5">
            <w:pPr>
              <w:spacing w:after="0"/>
              <w:jc w:val="left"/>
              <w:rPr>
                <w:rFonts w:asciiTheme="minorHAnsi" w:hAnsiTheme="minorHAnsi" w:cstheme="minorHAnsi"/>
                <w:color w:val="000000"/>
                <w:sz w:val="18"/>
                <w:szCs w:val="18"/>
              </w:rPr>
            </w:pPr>
            <w:r>
              <w:rPr>
                <w:rFonts w:asciiTheme="minorHAnsi" w:hAnsiTheme="minorHAnsi" w:cstheme="minorHAnsi"/>
                <w:color w:val="000000"/>
                <w:sz w:val="18"/>
                <w:szCs w:val="18"/>
              </w:rPr>
              <w:t>5</w:t>
            </w:r>
          </w:p>
        </w:tc>
        <w:tc>
          <w:tcPr>
            <w:tcW w:w="3006" w:type="dxa"/>
            <w:shd w:val="clear" w:color="auto" w:fill="auto"/>
            <w:noWrap/>
            <w:vAlign w:val="center"/>
            <w:hideMark/>
          </w:tcPr>
          <w:p w:rsidR="00F46ECD" w:rsidRPr="002B2655" w:rsidRDefault="00F46ECD" w:rsidP="00941FD5">
            <w:pPr>
              <w:spacing w:after="0"/>
              <w:jc w:val="left"/>
              <w:rPr>
                <w:rFonts w:asciiTheme="minorHAnsi" w:hAnsiTheme="minorHAnsi" w:cstheme="minorHAnsi"/>
                <w:color w:val="000000"/>
                <w:sz w:val="18"/>
                <w:szCs w:val="18"/>
              </w:rPr>
            </w:pPr>
            <w:r w:rsidRPr="002B2655">
              <w:rPr>
                <w:rFonts w:asciiTheme="minorHAnsi" w:hAnsiTheme="minorHAnsi" w:cstheme="minorHAnsi"/>
                <w:color w:val="000000"/>
                <w:sz w:val="18"/>
                <w:szCs w:val="18"/>
              </w:rPr>
              <w:t>PS702 8406 71Y</w:t>
            </w:r>
          </w:p>
        </w:tc>
        <w:tc>
          <w:tcPr>
            <w:tcW w:w="1417" w:type="dxa"/>
            <w:shd w:val="clear" w:color="auto" w:fill="auto"/>
            <w:noWrap/>
            <w:vAlign w:val="center"/>
            <w:hideMark/>
          </w:tcPr>
          <w:p w:rsidR="00F46ECD" w:rsidRPr="002B2655" w:rsidRDefault="00F46ECD" w:rsidP="00941FD5">
            <w:pPr>
              <w:spacing w:after="0"/>
              <w:jc w:val="center"/>
              <w:rPr>
                <w:rFonts w:asciiTheme="minorHAnsi" w:hAnsiTheme="minorHAnsi" w:cstheme="minorHAnsi"/>
                <w:color w:val="000000"/>
                <w:sz w:val="18"/>
                <w:szCs w:val="18"/>
              </w:rPr>
            </w:pPr>
            <w:r w:rsidRPr="002B2655">
              <w:rPr>
                <w:rFonts w:asciiTheme="minorHAnsi" w:hAnsiTheme="minorHAnsi" w:cstheme="minorHAnsi"/>
                <w:color w:val="000000"/>
                <w:sz w:val="18"/>
                <w:szCs w:val="18"/>
              </w:rPr>
              <w:t>8406/71Y</w:t>
            </w:r>
          </w:p>
        </w:tc>
        <w:tc>
          <w:tcPr>
            <w:tcW w:w="1378" w:type="dxa"/>
            <w:shd w:val="clear" w:color="auto" w:fill="auto"/>
            <w:noWrap/>
            <w:vAlign w:val="center"/>
            <w:hideMark/>
          </w:tcPr>
          <w:p w:rsidR="00F46ECD" w:rsidRPr="002B2655" w:rsidRDefault="00F46ECD" w:rsidP="00941FD5">
            <w:pPr>
              <w:spacing w:after="0"/>
              <w:jc w:val="center"/>
              <w:rPr>
                <w:rFonts w:asciiTheme="minorHAnsi" w:hAnsiTheme="minorHAnsi" w:cstheme="minorHAnsi"/>
                <w:sz w:val="18"/>
                <w:szCs w:val="18"/>
              </w:rPr>
            </w:pPr>
            <w:r w:rsidRPr="002B2655">
              <w:rPr>
                <w:rFonts w:asciiTheme="minorHAnsi" w:hAnsiTheme="minorHAnsi" w:cstheme="minorHAnsi"/>
                <w:sz w:val="18"/>
                <w:szCs w:val="18"/>
              </w:rPr>
              <w:t>060913B</w:t>
            </w:r>
          </w:p>
        </w:tc>
        <w:tc>
          <w:tcPr>
            <w:tcW w:w="1457" w:type="dxa"/>
            <w:shd w:val="clear" w:color="auto" w:fill="auto"/>
            <w:noWrap/>
            <w:vAlign w:val="center"/>
            <w:hideMark/>
          </w:tcPr>
          <w:p w:rsidR="00F46ECD" w:rsidRPr="002B2655" w:rsidRDefault="00AA1516" w:rsidP="00941FD5">
            <w:pPr>
              <w:spacing w:after="0"/>
              <w:jc w:val="center"/>
              <w:rPr>
                <w:rFonts w:asciiTheme="minorHAnsi" w:hAnsiTheme="minorHAnsi" w:cstheme="minorHAnsi"/>
                <w:color w:val="000000"/>
                <w:sz w:val="18"/>
                <w:szCs w:val="18"/>
              </w:rPr>
            </w:pPr>
            <w:r>
              <w:rPr>
                <w:rFonts w:asciiTheme="minorHAnsi" w:hAnsiTheme="minorHAnsi" w:cstheme="minorHAnsi"/>
                <w:color w:val="000000"/>
                <w:sz w:val="18"/>
                <w:szCs w:val="18"/>
              </w:rPr>
              <w:t>podpisem sml.</w:t>
            </w:r>
          </w:p>
        </w:tc>
        <w:tc>
          <w:tcPr>
            <w:tcW w:w="1601" w:type="dxa"/>
            <w:shd w:val="clear" w:color="auto" w:fill="auto"/>
            <w:vAlign w:val="center"/>
            <w:hideMark/>
          </w:tcPr>
          <w:p w:rsidR="00F46ECD" w:rsidRPr="002B2655" w:rsidRDefault="00F46ECD" w:rsidP="00941FD5">
            <w:pPr>
              <w:spacing w:after="0"/>
              <w:jc w:val="center"/>
              <w:rPr>
                <w:rFonts w:asciiTheme="minorHAnsi" w:hAnsiTheme="minorHAnsi" w:cstheme="minorHAnsi"/>
                <w:sz w:val="18"/>
                <w:szCs w:val="18"/>
              </w:rPr>
            </w:pPr>
            <w:r w:rsidRPr="002B2655">
              <w:rPr>
                <w:rFonts w:asciiTheme="minorHAnsi" w:hAnsiTheme="minorHAnsi" w:cstheme="minorHAnsi"/>
                <w:sz w:val="18"/>
                <w:szCs w:val="18"/>
              </w:rPr>
              <w:t>15.2.2016</w:t>
            </w:r>
          </w:p>
        </w:tc>
      </w:tr>
    </w:tbl>
    <w:p w:rsidR="00992009" w:rsidRDefault="00992009" w:rsidP="00F7313D">
      <w:pPr>
        <w:pStyle w:val="normlnpod11"/>
        <w:spacing w:after="0"/>
      </w:pPr>
    </w:p>
    <w:p w:rsidR="00AA1516" w:rsidRDefault="00AA1516" w:rsidP="00AA1516">
      <w:pPr>
        <w:ind w:left="567"/>
      </w:pPr>
      <w:r>
        <w:t>Poskytovatel se zavazuje u zařízení uvedených v Tabulce 1 provádět HW podporu v následujícím rozsahu</w:t>
      </w:r>
    </w:p>
    <w:p w:rsidR="00AA1516" w:rsidRDefault="00AA1516" w:rsidP="00AA1516">
      <w:pPr>
        <w:ind w:left="567"/>
        <w:jc w:val="left"/>
        <w:rPr>
          <w:rStyle w:val="Siln"/>
          <w:b w:val="0"/>
        </w:rPr>
      </w:pPr>
      <w:r>
        <w:rPr>
          <w:rStyle w:val="Siln"/>
          <w:b w:val="0"/>
        </w:rPr>
        <w:t xml:space="preserve">Krátká doba reakce </w:t>
      </w:r>
    </w:p>
    <w:p w:rsidR="00AA1516" w:rsidRDefault="00AA1516" w:rsidP="00AA1516">
      <w:pPr>
        <w:numPr>
          <w:ilvl w:val="0"/>
          <w:numId w:val="27"/>
        </w:numPr>
        <w:suppressAutoHyphens/>
        <w:spacing w:after="0"/>
        <w:ind w:left="567" w:firstLine="0"/>
        <w:jc w:val="left"/>
        <w:rPr>
          <w:rStyle w:val="Siln"/>
          <w:b w:val="0"/>
        </w:rPr>
      </w:pPr>
      <w:r w:rsidRPr="00E028DB">
        <w:rPr>
          <w:rStyle w:val="Siln"/>
          <w:b w:val="0"/>
        </w:rPr>
        <w:t>HWMA 7x24, (tj. pohotovost 7 dní v týdnu 24 hodin denně</w:t>
      </w:r>
      <w:r>
        <w:rPr>
          <w:rStyle w:val="Siln"/>
          <w:b w:val="0"/>
        </w:rPr>
        <w:t>)</w:t>
      </w:r>
      <w:r w:rsidRPr="00E028DB">
        <w:rPr>
          <w:rStyle w:val="Siln"/>
          <w:b w:val="0"/>
        </w:rPr>
        <w:t xml:space="preserve">, </w:t>
      </w:r>
    </w:p>
    <w:p w:rsidR="00AA1516" w:rsidRPr="00AF625D" w:rsidRDefault="00AA1516" w:rsidP="00AA1516">
      <w:pPr>
        <w:numPr>
          <w:ilvl w:val="0"/>
          <w:numId w:val="27"/>
        </w:numPr>
        <w:suppressAutoHyphens/>
        <w:spacing w:after="0"/>
        <w:ind w:left="567" w:firstLine="0"/>
        <w:jc w:val="left"/>
        <w:rPr>
          <w:rStyle w:val="Siln"/>
          <w:b w:val="0"/>
        </w:rPr>
      </w:pPr>
      <w:r w:rsidRPr="00AF625D">
        <w:rPr>
          <w:rStyle w:val="Siln"/>
          <w:b w:val="0"/>
        </w:rPr>
        <w:t xml:space="preserve">FT24h </w:t>
      </w:r>
      <w:r>
        <w:rPr>
          <w:rStyle w:val="Siln"/>
          <w:b w:val="0"/>
        </w:rPr>
        <w:t>(</w:t>
      </w:r>
      <w:r w:rsidRPr="00AF625D">
        <w:rPr>
          <w:rStyle w:val="Siln"/>
          <w:b w:val="0"/>
        </w:rPr>
        <w:t>obnovení funkčnosti do 24 hodin od nahlášení)</w:t>
      </w:r>
    </w:p>
    <w:p w:rsidR="00AA1516" w:rsidRDefault="00AA1516" w:rsidP="00AA1516"/>
    <w:p w:rsidR="00AA1516" w:rsidRDefault="00AA1516" w:rsidP="00AA1516">
      <w:pPr>
        <w:ind w:left="567"/>
      </w:pPr>
      <w:r>
        <w:t>Poskytovatel se zavazuje u zařízení uvedených v Tabulce 2 provádět HW podporu v následujícím rozsahu</w:t>
      </w:r>
    </w:p>
    <w:p w:rsidR="00AA1516" w:rsidRDefault="00AA1516" w:rsidP="00AA1516">
      <w:pPr>
        <w:ind w:left="567"/>
        <w:jc w:val="left"/>
        <w:rPr>
          <w:rStyle w:val="Siln"/>
          <w:b w:val="0"/>
        </w:rPr>
      </w:pPr>
      <w:r w:rsidRPr="00E028DB">
        <w:rPr>
          <w:rStyle w:val="Siln"/>
          <w:b w:val="0"/>
        </w:rPr>
        <w:t xml:space="preserve">Dlouhá doba reakce: </w:t>
      </w:r>
    </w:p>
    <w:p w:rsidR="00AA1516" w:rsidRPr="00B771AC" w:rsidRDefault="00AA1516" w:rsidP="00AA1516">
      <w:pPr>
        <w:numPr>
          <w:ilvl w:val="0"/>
          <w:numId w:val="28"/>
        </w:numPr>
        <w:suppressAutoHyphens/>
        <w:spacing w:after="0"/>
        <w:ind w:left="851" w:hanging="284"/>
        <w:jc w:val="left"/>
        <w:rPr>
          <w:rStyle w:val="Siln"/>
          <w:b w:val="0"/>
        </w:rPr>
      </w:pPr>
      <w:r w:rsidRPr="00B771AC">
        <w:rPr>
          <w:rStyle w:val="Siln"/>
          <w:b w:val="0"/>
        </w:rPr>
        <w:t>HWMA 5x11,  (tj. pohotovost 5 dní v týdnu 11 hodin denně, o</w:t>
      </w:r>
      <w:r w:rsidR="00B771AC" w:rsidRPr="00B771AC">
        <w:rPr>
          <w:rStyle w:val="Siln"/>
          <w:b w:val="0"/>
        </w:rPr>
        <w:t>d 07.00</w:t>
      </w:r>
      <w:r w:rsidRPr="00B771AC">
        <w:rPr>
          <w:rStyle w:val="Siln"/>
          <w:b w:val="0"/>
        </w:rPr>
        <w:t xml:space="preserve"> hodin do </w:t>
      </w:r>
      <w:r w:rsidR="00B771AC" w:rsidRPr="00B771AC">
        <w:rPr>
          <w:rStyle w:val="Siln"/>
          <w:b w:val="0"/>
        </w:rPr>
        <w:t>18.00</w:t>
      </w:r>
      <w:r w:rsidRPr="00B771AC">
        <w:rPr>
          <w:rStyle w:val="Siln"/>
          <w:b w:val="0"/>
        </w:rPr>
        <w:t xml:space="preserve"> hodin) </w:t>
      </w:r>
    </w:p>
    <w:p w:rsidR="00AA1516" w:rsidRPr="00E028DB" w:rsidRDefault="00AA1516" w:rsidP="00AA1516">
      <w:pPr>
        <w:numPr>
          <w:ilvl w:val="0"/>
          <w:numId w:val="28"/>
        </w:numPr>
        <w:suppressAutoHyphens/>
        <w:spacing w:after="0"/>
        <w:ind w:left="851" w:hanging="284"/>
        <w:jc w:val="left"/>
        <w:rPr>
          <w:rStyle w:val="Siln"/>
          <w:b w:val="0"/>
        </w:rPr>
      </w:pPr>
      <w:r w:rsidRPr="00E028DB">
        <w:rPr>
          <w:rStyle w:val="Siln"/>
          <w:b w:val="0"/>
        </w:rPr>
        <w:t>FT48</w:t>
      </w:r>
      <w:r>
        <w:rPr>
          <w:rStyle w:val="Siln"/>
          <w:b w:val="0"/>
        </w:rPr>
        <w:t xml:space="preserve"> (</w:t>
      </w:r>
      <w:r w:rsidRPr="00E028DB">
        <w:rPr>
          <w:rStyle w:val="Siln"/>
          <w:b w:val="0"/>
        </w:rPr>
        <w:t>obnovení funkčnosti do 48 hodin od nahlášení)</w:t>
      </w:r>
    </w:p>
    <w:p w:rsidR="00AA1516" w:rsidRDefault="00AA1516" w:rsidP="00AA1516">
      <w:pPr>
        <w:ind w:left="567"/>
      </w:pPr>
    </w:p>
    <w:p w:rsidR="00F46ECD" w:rsidRDefault="00F46ECD" w:rsidP="00AA1516">
      <w:pPr>
        <w:ind w:left="567"/>
      </w:pPr>
      <w:r>
        <w:t xml:space="preserve">Pro účely této smlouvy se dále považuje obnovení funkčnosti za reakční dobu. </w:t>
      </w:r>
    </w:p>
    <w:p w:rsidR="00992009" w:rsidRDefault="00992009" w:rsidP="00992009">
      <w:pPr>
        <w:ind w:left="567"/>
      </w:pPr>
      <w:r>
        <w:t>Předmětem plnění není konfigurace systému/software.</w:t>
      </w:r>
    </w:p>
    <w:p w:rsidR="00992009" w:rsidRDefault="00992009" w:rsidP="00992009">
      <w:pPr>
        <w:ind w:left="567"/>
      </w:pPr>
      <w:r>
        <w:t>Poskytovatel se zaručuje, že ve výše uvedených termínech zajistí oprav</w:t>
      </w:r>
      <w:r w:rsidR="00F46ECD">
        <w:t>u či úpravu</w:t>
      </w:r>
      <w:r>
        <w:t xml:space="preserve"> HW, zajistí potřebné náhradní díly a plně obnoví funkčnost dotčeného zařízení. Funkčností se rozumí zprovoznění poškozeného HW a ověření správné funkce vyměněné HW komponenty a celého HW celku.</w:t>
      </w:r>
    </w:p>
    <w:p w:rsidR="00992009" w:rsidRDefault="00F46ECD" w:rsidP="00992009">
      <w:pPr>
        <w:ind w:left="567"/>
      </w:pPr>
      <w:r>
        <w:t>Reakční dobou</w:t>
      </w:r>
      <w:r w:rsidR="00992009">
        <w:t xml:space="preserve"> se rozumí doba, která uplyne mezi nahlášením problému</w:t>
      </w:r>
      <w:r>
        <w:t>, zejména závady</w:t>
      </w:r>
      <w:r w:rsidR="00992009">
        <w:t xml:space="preserve"> na dohodnutém komunikačním kanálu mezi objednatelem/</w:t>
      </w:r>
      <w:r w:rsidR="005B4AF9">
        <w:t>posky</w:t>
      </w:r>
      <w:r>
        <w:t xml:space="preserve">tovatelem </w:t>
      </w:r>
      <w:r w:rsidR="00992009">
        <w:t>a obnovením funkčnosti dotčeného zařízení.</w:t>
      </w:r>
    </w:p>
    <w:p w:rsidR="008F5A9D" w:rsidRDefault="008F5A9D" w:rsidP="00992009">
      <w:pPr>
        <w:pStyle w:val="normlnpod111"/>
        <w:ind w:left="567"/>
      </w:pPr>
      <w:r>
        <w:t>(předmět plnění dále a výše též jen „služba“ či „služby“, nevyplývá-li výslovně či z kontextu jinak)</w:t>
      </w:r>
    </w:p>
    <w:p w:rsidR="008F5A9D" w:rsidRDefault="008F5A9D" w:rsidP="006929E9">
      <w:pPr>
        <w:pStyle w:val="Odstavec2"/>
      </w:pPr>
      <w:r>
        <w:t>Poskytovatel prohlašuje, že má veškerá oprávnění k plnění této smlouvy.</w:t>
      </w:r>
    </w:p>
    <w:p w:rsidR="008F5A9D" w:rsidRDefault="008F5A9D" w:rsidP="006929E9">
      <w:pPr>
        <w:pStyle w:val="Odstavec2"/>
      </w:pPr>
      <w:r>
        <w:t>Cena za předmět plnění (odměna poskytovatele) bude objedn</w:t>
      </w:r>
      <w:r w:rsidR="00AB2E91">
        <w:t>atelem poskytovateli uhrazena v </w:t>
      </w:r>
      <w:r>
        <w:t>souladu a za podmínek této smlouvy.</w:t>
      </w:r>
    </w:p>
    <w:p w:rsidR="008F5A9D" w:rsidRDefault="008F5A9D" w:rsidP="006929E9">
      <w:pPr>
        <w:pStyle w:val="Odstavec2"/>
      </w:pPr>
      <w:r>
        <w:t>Poskytovatel se zavazuje nezveřejnit či jinak nezpřístupnit t</w:t>
      </w:r>
      <w:r w:rsidR="00AB2E91">
        <w:t>řetí straně veškeré informace a </w:t>
      </w:r>
      <w:r>
        <w:t>skutečnosti, zjištěné při realizaci této smlouvy a vztahující se k</w:t>
      </w:r>
      <w:r w:rsidR="00AB2E91">
        <w:t xml:space="preserve"> objednateli, které vyvstanou v </w:t>
      </w:r>
      <w:r>
        <w:t>souvislosti s činností poskytovatele. Tato povinnost trvá i po ukončení této smlouvy. Toto ustanovení se nevztahuje na informace, jejichž poskytnutí smluvní straně ukládá zákon.</w:t>
      </w:r>
    </w:p>
    <w:p w:rsidR="00633D18" w:rsidRDefault="00633D18" w:rsidP="00633D18">
      <w:pPr>
        <w:pStyle w:val="Odstavec2"/>
      </w:pPr>
      <w:r>
        <w:t xml:space="preserve">Poskytovatel bere na vědomí a souhlasí s tím, že objednatel je povinen a zveřejní v souladu se zákonem č. 106/1999 Sb., o svobodném přístupu k informacím, v platném znění, na základě žádosti veškerou zadávací dokumentaci k dotčené zakázce č. </w:t>
      </w:r>
      <w:r w:rsidR="00992009">
        <w:t>003/15</w:t>
      </w:r>
      <w:r>
        <w:t>/OCN včetně uzavřené smlouvy.</w:t>
      </w:r>
    </w:p>
    <w:p w:rsidR="005E41B6" w:rsidRDefault="005E41B6" w:rsidP="00633D18">
      <w:pPr>
        <w:pStyle w:val="Odstavec2"/>
      </w:pPr>
      <w:r>
        <w:t xml:space="preserve">Poskytovatel bere na vědomí a souhlasí, že tato smlouva v celém </w:t>
      </w:r>
      <w:r w:rsidR="00966B19">
        <w:t>znění</w:t>
      </w:r>
      <w:r>
        <w:t>,</w:t>
      </w:r>
      <w:r w:rsidR="00966B19">
        <w:t xml:space="preserve"> </w:t>
      </w:r>
      <w:r>
        <w:t>včetně případných dodatků bude zveřejněna na internetových stránkách na profilu objednatele – www.softender.cz .</w:t>
      </w:r>
    </w:p>
    <w:p w:rsidR="00633D18" w:rsidRDefault="00633D18" w:rsidP="00633D18">
      <w:pPr>
        <w:pStyle w:val="Odstavec2"/>
      </w:pPr>
      <w:r>
        <w:t xml:space="preserve">Poskytovatel se zavazuje řádně plnit veškeré své finanční závazky a chovat se tak, aby vůči němu nebyl podán návrh dle zákona č. 182/2006 Sb., insolvenční zákon, v platném znění, a zavazuje se, že nevstoupí po dobu plnění této smlouvy do likvidace. Rovněž se zavazuje chovat se tak, aby nepozbyl příslušného živnostenského či jiného oprávnění potřebného pro řádné plnění služby. </w:t>
      </w:r>
    </w:p>
    <w:p w:rsidR="00EC3FB5" w:rsidRPr="004E1521" w:rsidRDefault="00EC3FB5" w:rsidP="00EC3FB5">
      <w:pPr>
        <w:pStyle w:val="Odstavec2"/>
      </w:pPr>
      <w:r w:rsidRPr="004E1521">
        <w:lastRenderedPageBreak/>
        <w:t xml:space="preserve">Smluvní strany se zavazují jednat tak a přijmout taková opatření, aby nevzniklo jakékoliv důvodné podezření na spáchání či nedošlo k samotnému spáchání trestného činu (včetně formy účastenství), který by mohlo být jakékoliv ze </w:t>
      </w:r>
      <w:r>
        <w:t>s</w:t>
      </w:r>
      <w:r w:rsidRPr="004E1521">
        <w:t>mluvních stran přičteno podle zákona č. 418/2011 Sb., o trestní odpovědnosti právnických osob a řízení proti nim nebo nevznikla trestní odpovědnost fyzických osob (včetně zaměstnanců) podle trestního zákona</w:t>
      </w:r>
      <w:r>
        <w:t xml:space="preserve"> č. 40/2009 Sb.</w:t>
      </w:r>
      <w:r w:rsidRPr="004E1521">
        <w:t xml:space="preserve">, případně nebylo zahájeno trestní stíhání proti jakékoliv ze </w:t>
      </w:r>
      <w:r>
        <w:t>s</w:t>
      </w:r>
      <w:r w:rsidRPr="004E1521">
        <w:t xml:space="preserve">mluvních stran včetně jejích zaměstnanců podle platných právních předpisů. </w:t>
      </w:r>
      <w:r>
        <w:t>Poskytovatel prohlašuje, že se seznámil</w:t>
      </w:r>
      <w:r w:rsidRPr="004E1521">
        <w:t xml:space="preserve"> s Etickým kodexem ČEPRO, a.s. a zavazuje se tento dodržovat na vlastní náklady a odpovědnost při plnění svých závazků vzniklých z této smlouvy. Etický kodex ČEPRO, a.s. je uveřejněn na adrese </w:t>
      </w:r>
      <w:hyperlink r:id="rId10" w:history="1">
        <w:r w:rsidR="00C37ED7" w:rsidRPr="005B4AF9">
          <w:rPr>
            <w:rStyle w:val="Hypertextovodkaz"/>
            <w:rFonts w:cs="Arial"/>
          </w:rPr>
          <w:t>https://www.ceproas.cz/public/data/eticky_kodex-final.pdf</w:t>
        </w:r>
      </w:hyperlink>
      <w:r w:rsidRPr="00C37ED7">
        <w:rPr>
          <w:rFonts w:cs="Arial"/>
        </w:rPr>
        <w:t>.</w:t>
      </w:r>
      <w:r w:rsidRPr="005B4AF9">
        <w:rPr>
          <w:sz w:val="18"/>
        </w:rPr>
        <w:t xml:space="preserve"> </w:t>
      </w:r>
      <w:r w:rsidRPr="004E1521">
        <w:t xml:space="preserve">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w:t>
      </w:r>
      <w:r>
        <w:t>s</w:t>
      </w:r>
      <w:r w:rsidRPr="004E1521">
        <w:t xml:space="preserve">mluvní strana povinna neprodleně oznámit druhé </w:t>
      </w:r>
      <w:r>
        <w:t>s</w:t>
      </w:r>
      <w:r w:rsidRPr="004E1521">
        <w:t>mluvní straně bez ohledu a nad rámec splnění případné zákonné oznamovací povinnosti.</w:t>
      </w:r>
    </w:p>
    <w:p w:rsidR="00EC3FB5" w:rsidRDefault="00EC3FB5" w:rsidP="001B2EA2">
      <w:pPr>
        <w:pStyle w:val="Odstavec2"/>
      </w:pPr>
      <w:r w:rsidRPr="004E1521">
        <w:t>Smluvní strany se zavazují a prohlašují, že splňují a budou po celou dobu trvání této</w:t>
      </w:r>
      <w:r>
        <w:t xml:space="preserve"> s</w:t>
      </w:r>
      <w:r w:rsidRPr="004E1521">
        <w:t xml:space="preserve">mlouvy dodržovat a splňovat kritéria a standardy chování společnosti ČEPRO, a.s. v obchodním styku, specifikované a uveřejněné na adrese </w:t>
      </w:r>
      <w:hyperlink r:id="rId11" w:history="1">
        <w:r w:rsidRPr="004E1521">
          <w:rPr>
            <w:rStyle w:val="Hypertextovodkaz"/>
          </w:rPr>
          <w:t>https://www.ceproas.cz/vyberova-rizení</w:t>
        </w:r>
      </w:hyperlink>
      <w:r w:rsidRPr="004E1521">
        <w:t xml:space="preserve"> a etické zásady, obsaže</w:t>
      </w:r>
      <w:r w:rsidR="001B2EA2">
        <w:t>né v Etickém kodexu ČEPRO, a.s.</w:t>
      </w:r>
    </w:p>
    <w:p w:rsidR="008F5A9D" w:rsidRDefault="008F5A9D" w:rsidP="005B4AF9">
      <w:pPr>
        <w:pStyle w:val="lnek"/>
        <w:spacing w:before="360"/>
        <w:ind w:left="17"/>
      </w:pPr>
      <w:r>
        <w:t>Doba a místo plnění</w:t>
      </w:r>
    </w:p>
    <w:p w:rsidR="008F5A9D" w:rsidRDefault="00FF2839" w:rsidP="00FF2839">
      <w:pPr>
        <w:pStyle w:val="Odstavec2"/>
      </w:pPr>
      <w:r>
        <w:t xml:space="preserve">Služba poskytovatele dle specifikace v bodu </w:t>
      </w:r>
      <w:r>
        <w:fldChar w:fldCharType="begin"/>
      </w:r>
      <w:r>
        <w:instrText xml:space="preserve"> REF _Ref336258763 \r \h </w:instrText>
      </w:r>
      <w:r>
        <w:fldChar w:fldCharType="separate"/>
      </w:r>
      <w:r w:rsidR="005457CC">
        <w:t>1.2</w:t>
      </w:r>
      <w:r>
        <w:fldChar w:fldCharType="end"/>
      </w:r>
      <w:r>
        <w:t xml:space="preserve"> a násl. této smlouvy bude poskytována po dobu účinnosti této smlouvy v období s počátkem od </w:t>
      </w:r>
      <w:r w:rsidR="005B4AF9">
        <w:t xml:space="preserve">data podpisu smlouvy. </w:t>
      </w:r>
    </w:p>
    <w:p w:rsidR="008F5A9D" w:rsidRDefault="008F5A9D" w:rsidP="006929E9">
      <w:pPr>
        <w:pStyle w:val="Odstavec2"/>
      </w:pPr>
      <w:r>
        <w:t>Místem plnění této smlouvy je sklad ČEPRO, a. s. v lokalitě</w:t>
      </w:r>
      <w:r w:rsidR="00396802">
        <w:t xml:space="preserve"> Roudnice nad Labem – Hněvice a </w:t>
      </w:r>
      <w:r>
        <w:t xml:space="preserve">centrála v sídle objednatele, tj. na adrese Dělnická 12/213, 170 04 Praha 7. </w:t>
      </w:r>
    </w:p>
    <w:p w:rsidR="008F5A9D" w:rsidRDefault="008F5A9D" w:rsidP="005B4AF9">
      <w:pPr>
        <w:pStyle w:val="lnek"/>
        <w:spacing w:before="360"/>
        <w:ind w:left="17"/>
      </w:pPr>
      <w:r>
        <w:t>Cena za předmět plnění</w:t>
      </w:r>
    </w:p>
    <w:p w:rsidR="006B2283" w:rsidRDefault="007F3B24" w:rsidP="007F3B24">
      <w:pPr>
        <w:pStyle w:val="Odstavec2"/>
      </w:pPr>
      <w:bookmarkStart w:id="14" w:name="_Ref336258894"/>
      <w:r>
        <w:t xml:space="preserve">Cena za plnění závazku poskytovatele dle čl. </w:t>
      </w:r>
      <w:r>
        <w:fldChar w:fldCharType="begin"/>
      </w:r>
      <w:r>
        <w:instrText xml:space="preserve"> REF _Ref336258987 \r \h </w:instrText>
      </w:r>
      <w:r>
        <w:fldChar w:fldCharType="separate"/>
      </w:r>
      <w:r w:rsidR="005457CC">
        <w:t>Čl. 1</w:t>
      </w:r>
      <w:r>
        <w:fldChar w:fldCharType="end"/>
      </w:r>
      <w:r>
        <w:t xml:space="preserve"> této smlouvy na základě a v souladu s touto smlouvou je stanovena jako celková cena smluvní </w:t>
      </w:r>
      <w:r w:rsidRPr="000140A0">
        <w:rPr>
          <w:highlight w:val="yellow"/>
        </w:rPr>
        <w:fldChar w:fldCharType="begin">
          <w:ffData>
            <w:name w:val="Text31"/>
            <w:enabled/>
            <w:calcOnExit w:val="0"/>
            <w:textInput/>
          </w:ffData>
        </w:fldChar>
      </w:r>
      <w:bookmarkStart w:id="15" w:name="Text31"/>
      <w:r w:rsidRPr="000140A0">
        <w:rPr>
          <w:highlight w:val="yellow"/>
        </w:rPr>
        <w:instrText xml:space="preserve"> FORMTEXT </w:instrText>
      </w:r>
      <w:r w:rsidRPr="000140A0">
        <w:rPr>
          <w:highlight w:val="yellow"/>
        </w:rPr>
      </w:r>
      <w:r w:rsidRPr="000140A0">
        <w:rPr>
          <w:highlight w:val="yellow"/>
        </w:rPr>
        <w:fldChar w:fldCharType="separate"/>
      </w:r>
      <w:r w:rsidRPr="000140A0">
        <w:rPr>
          <w:noProof/>
          <w:highlight w:val="yellow"/>
        </w:rPr>
        <w:t> </w:t>
      </w:r>
      <w:r w:rsidRPr="000140A0">
        <w:rPr>
          <w:noProof/>
          <w:highlight w:val="yellow"/>
        </w:rPr>
        <w:t> </w:t>
      </w:r>
      <w:r w:rsidRPr="000140A0">
        <w:rPr>
          <w:noProof/>
          <w:highlight w:val="yellow"/>
        </w:rPr>
        <w:t> </w:t>
      </w:r>
      <w:r w:rsidRPr="000140A0">
        <w:rPr>
          <w:noProof/>
          <w:highlight w:val="yellow"/>
        </w:rPr>
        <w:t> </w:t>
      </w:r>
      <w:r w:rsidRPr="000140A0">
        <w:rPr>
          <w:noProof/>
          <w:highlight w:val="yellow"/>
        </w:rPr>
        <w:t> </w:t>
      </w:r>
      <w:r w:rsidRPr="000140A0">
        <w:rPr>
          <w:highlight w:val="yellow"/>
        </w:rPr>
        <w:fldChar w:fldCharType="end"/>
      </w:r>
      <w:bookmarkEnd w:id="15"/>
      <w:r>
        <w:t xml:space="preserve"> Kč bez DPH, ve složení </w:t>
      </w:r>
      <w:r w:rsidR="00C37ED7">
        <w:t xml:space="preserve">níže uvedených </w:t>
      </w:r>
      <w:r>
        <w:t>tabul</w:t>
      </w:r>
      <w:r w:rsidR="00C37ED7">
        <w:t>e</w:t>
      </w:r>
      <w:r>
        <w:t xml:space="preserve">k. </w:t>
      </w:r>
      <w:bookmarkEnd w:id="14"/>
    </w:p>
    <w:p w:rsidR="005B4AF9" w:rsidRPr="005B4AF9" w:rsidRDefault="005B4AF9" w:rsidP="005B4AF9">
      <w:pPr>
        <w:suppressAutoHyphens/>
        <w:spacing w:before="120" w:after="0"/>
        <w:jc w:val="left"/>
        <w:rPr>
          <w:rFonts w:cs="Arial"/>
          <w:szCs w:val="20"/>
          <w:lang w:eastAsia="zh-CN"/>
        </w:rPr>
      </w:pPr>
      <w:r w:rsidRPr="005B4AF9">
        <w:rPr>
          <w:rFonts w:cs="Arial"/>
          <w:szCs w:val="20"/>
          <w:lang w:eastAsia="zh-CN"/>
        </w:rPr>
        <w:t xml:space="preserve">Tab. 1 </w:t>
      </w:r>
    </w:p>
    <w:tbl>
      <w:tblPr>
        <w:tblW w:w="93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00"/>
        <w:gridCol w:w="1417"/>
        <w:gridCol w:w="1418"/>
        <w:gridCol w:w="1417"/>
        <w:gridCol w:w="1688"/>
        <w:gridCol w:w="1431"/>
      </w:tblGrid>
      <w:tr w:rsidR="005B4AF9" w:rsidRPr="005B4AF9" w:rsidTr="002227CB">
        <w:trPr>
          <w:trHeight w:val="324"/>
        </w:trPr>
        <w:tc>
          <w:tcPr>
            <w:tcW w:w="2000" w:type="dxa"/>
            <w:shd w:val="clear" w:color="333399" w:fill="538DD5"/>
            <w:vAlign w:val="center"/>
            <w:hideMark/>
          </w:tcPr>
          <w:p w:rsidR="005B4AF9" w:rsidRPr="005B4AF9" w:rsidRDefault="005B4AF9" w:rsidP="005B4AF9">
            <w:pPr>
              <w:suppressAutoHyphens/>
              <w:spacing w:after="0"/>
              <w:jc w:val="left"/>
              <w:rPr>
                <w:rFonts w:ascii="Calibri" w:hAnsi="Calibri" w:cs="Arial"/>
                <w:b/>
                <w:bCs/>
                <w:color w:val="FFFFFF"/>
                <w:sz w:val="18"/>
                <w:szCs w:val="18"/>
                <w:lang w:eastAsia="zh-CN"/>
              </w:rPr>
            </w:pPr>
            <w:r w:rsidRPr="005B4AF9">
              <w:rPr>
                <w:rFonts w:ascii="Calibri" w:hAnsi="Calibri" w:cs="Arial"/>
                <w:b/>
                <w:bCs/>
                <w:color w:val="FFFFFF"/>
                <w:sz w:val="18"/>
                <w:szCs w:val="18"/>
                <w:lang w:eastAsia="zh-CN"/>
              </w:rPr>
              <w:t xml:space="preserve">Název Zařízení </w:t>
            </w:r>
          </w:p>
        </w:tc>
        <w:tc>
          <w:tcPr>
            <w:tcW w:w="1417" w:type="dxa"/>
            <w:shd w:val="clear" w:color="333399" w:fill="538DD5"/>
            <w:vAlign w:val="center"/>
            <w:hideMark/>
          </w:tcPr>
          <w:p w:rsidR="005B4AF9" w:rsidRPr="005B4AF9" w:rsidRDefault="005B4AF9" w:rsidP="005B4AF9">
            <w:pPr>
              <w:suppressAutoHyphens/>
              <w:spacing w:after="0"/>
              <w:jc w:val="center"/>
              <w:rPr>
                <w:rFonts w:ascii="Calibri" w:hAnsi="Calibri" w:cs="Arial"/>
                <w:b/>
                <w:bCs/>
                <w:color w:val="FFFFFF"/>
                <w:sz w:val="18"/>
                <w:szCs w:val="18"/>
                <w:lang w:eastAsia="zh-CN"/>
              </w:rPr>
            </w:pPr>
            <w:r w:rsidRPr="005B4AF9">
              <w:rPr>
                <w:rFonts w:ascii="Calibri" w:hAnsi="Calibri" w:cs="Arial"/>
                <w:b/>
                <w:bCs/>
                <w:color w:val="FFFFFF"/>
                <w:sz w:val="18"/>
                <w:szCs w:val="18"/>
                <w:lang w:eastAsia="zh-CN"/>
              </w:rPr>
              <w:t>Typové označení</w:t>
            </w:r>
          </w:p>
        </w:tc>
        <w:tc>
          <w:tcPr>
            <w:tcW w:w="1418" w:type="dxa"/>
            <w:shd w:val="clear" w:color="333399" w:fill="538DD5"/>
            <w:vAlign w:val="center"/>
            <w:hideMark/>
          </w:tcPr>
          <w:p w:rsidR="005B4AF9" w:rsidRPr="005B4AF9" w:rsidRDefault="005B4AF9" w:rsidP="005B4AF9">
            <w:pPr>
              <w:suppressAutoHyphens/>
              <w:spacing w:after="0"/>
              <w:jc w:val="center"/>
              <w:rPr>
                <w:rFonts w:ascii="Calibri" w:hAnsi="Calibri" w:cs="Arial"/>
                <w:b/>
                <w:bCs/>
                <w:color w:val="FFFFFF"/>
                <w:sz w:val="18"/>
                <w:szCs w:val="18"/>
                <w:lang w:eastAsia="zh-CN"/>
              </w:rPr>
            </w:pPr>
            <w:r w:rsidRPr="005B4AF9">
              <w:rPr>
                <w:rFonts w:ascii="Calibri" w:hAnsi="Calibri" w:cs="Arial"/>
                <w:b/>
                <w:bCs/>
                <w:color w:val="FFFFFF"/>
                <w:sz w:val="18"/>
                <w:szCs w:val="18"/>
                <w:lang w:eastAsia="zh-CN"/>
              </w:rPr>
              <w:t>Service Number</w:t>
            </w:r>
          </w:p>
        </w:tc>
        <w:tc>
          <w:tcPr>
            <w:tcW w:w="1417" w:type="dxa"/>
            <w:shd w:val="clear" w:color="333399" w:fill="538DD5"/>
            <w:vAlign w:val="center"/>
            <w:hideMark/>
          </w:tcPr>
          <w:p w:rsidR="005B4AF9" w:rsidRPr="005B4AF9" w:rsidRDefault="005B4AF9" w:rsidP="005B4AF9">
            <w:pPr>
              <w:suppressAutoHyphens/>
              <w:spacing w:after="0"/>
              <w:jc w:val="center"/>
              <w:rPr>
                <w:rFonts w:ascii="Calibri" w:hAnsi="Calibri" w:cs="Arial"/>
                <w:b/>
                <w:bCs/>
                <w:color w:val="FFFFFF"/>
                <w:sz w:val="18"/>
                <w:szCs w:val="18"/>
                <w:lang w:eastAsia="zh-CN"/>
              </w:rPr>
            </w:pPr>
            <w:r w:rsidRPr="005B4AF9">
              <w:rPr>
                <w:rFonts w:ascii="Calibri" w:hAnsi="Calibri" w:cs="Arial"/>
                <w:b/>
                <w:bCs/>
                <w:color w:val="FFFFFF"/>
                <w:sz w:val="18"/>
                <w:szCs w:val="18"/>
                <w:lang w:eastAsia="zh-CN"/>
              </w:rPr>
              <w:t>začátek podpory</w:t>
            </w:r>
          </w:p>
        </w:tc>
        <w:tc>
          <w:tcPr>
            <w:tcW w:w="1688" w:type="dxa"/>
            <w:shd w:val="clear" w:color="333399" w:fill="538DD5"/>
            <w:vAlign w:val="center"/>
            <w:hideMark/>
          </w:tcPr>
          <w:p w:rsidR="005B4AF9" w:rsidRPr="005B4AF9" w:rsidRDefault="005B4AF9" w:rsidP="005B4AF9">
            <w:pPr>
              <w:suppressAutoHyphens/>
              <w:spacing w:after="0"/>
              <w:jc w:val="center"/>
              <w:rPr>
                <w:rFonts w:ascii="Calibri" w:hAnsi="Calibri" w:cs="Arial"/>
                <w:b/>
                <w:bCs/>
                <w:color w:val="FFFFFF"/>
                <w:sz w:val="18"/>
                <w:szCs w:val="18"/>
                <w:lang w:eastAsia="zh-CN"/>
              </w:rPr>
            </w:pPr>
            <w:r w:rsidRPr="005B4AF9">
              <w:rPr>
                <w:rFonts w:ascii="Calibri" w:hAnsi="Calibri" w:cs="Arial"/>
                <w:b/>
                <w:bCs/>
                <w:color w:val="FFFFFF"/>
                <w:sz w:val="18"/>
                <w:szCs w:val="18"/>
                <w:lang w:eastAsia="zh-CN"/>
              </w:rPr>
              <w:t>konec podpory</w:t>
            </w:r>
          </w:p>
        </w:tc>
        <w:tc>
          <w:tcPr>
            <w:tcW w:w="1431" w:type="dxa"/>
            <w:shd w:val="clear" w:color="333399" w:fill="538DD5"/>
            <w:vAlign w:val="center"/>
          </w:tcPr>
          <w:p w:rsidR="005B4AF9" w:rsidRPr="005B4AF9" w:rsidRDefault="005B4AF9" w:rsidP="005B4AF9">
            <w:pPr>
              <w:suppressAutoHyphens/>
              <w:spacing w:before="120" w:after="0"/>
              <w:jc w:val="center"/>
              <w:rPr>
                <w:rFonts w:ascii="Calibri" w:hAnsi="Calibri" w:cs="Arial"/>
                <w:b/>
                <w:bCs/>
                <w:color w:val="FFFFFF"/>
                <w:sz w:val="18"/>
                <w:szCs w:val="18"/>
                <w:lang w:eastAsia="zh-CN"/>
              </w:rPr>
            </w:pPr>
            <w:r w:rsidRPr="005B4AF9">
              <w:rPr>
                <w:rFonts w:ascii="Calibri" w:hAnsi="Calibri" w:cs="Arial"/>
                <w:b/>
                <w:bCs/>
                <w:color w:val="FFFFFF"/>
                <w:sz w:val="18"/>
                <w:szCs w:val="18"/>
                <w:lang w:eastAsia="zh-CN"/>
              </w:rPr>
              <w:t>Cena bez DPH</w:t>
            </w:r>
          </w:p>
        </w:tc>
      </w:tr>
      <w:tr w:rsidR="005B4AF9" w:rsidRPr="005B4AF9" w:rsidTr="002227CB">
        <w:trPr>
          <w:trHeight w:val="288"/>
        </w:trPr>
        <w:tc>
          <w:tcPr>
            <w:tcW w:w="2000" w:type="dxa"/>
            <w:shd w:val="clear" w:color="auto" w:fill="auto"/>
            <w:noWrap/>
            <w:vAlign w:val="center"/>
            <w:hideMark/>
          </w:tcPr>
          <w:p w:rsidR="005B4AF9" w:rsidRPr="005B4AF9" w:rsidRDefault="005B4AF9" w:rsidP="005B4AF9">
            <w:pPr>
              <w:suppressAutoHyphens/>
              <w:spacing w:after="0"/>
              <w:jc w:val="left"/>
              <w:rPr>
                <w:rFonts w:ascii="Calibri" w:hAnsi="Calibri" w:cs="Calibri"/>
                <w:color w:val="000000"/>
                <w:sz w:val="18"/>
                <w:szCs w:val="18"/>
                <w:lang w:eastAsia="zh-CN"/>
              </w:rPr>
            </w:pPr>
            <w:r w:rsidRPr="005B4AF9">
              <w:rPr>
                <w:rFonts w:ascii="Calibri" w:hAnsi="Calibri" w:cs="Calibri"/>
                <w:color w:val="000000"/>
                <w:sz w:val="18"/>
                <w:szCs w:val="18"/>
                <w:lang w:eastAsia="zh-CN"/>
              </w:rPr>
              <w:t>BLADECENTER CHASSIS H</w:t>
            </w:r>
          </w:p>
        </w:tc>
        <w:tc>
          <w:tcPr>
            <w:tcW w:w="1417" w:type="dxa"/>
            <w:shd w:val="clear" w:color="auto" w:fill="auto"/>
            <w:noWrap/>
            <w:vAlign w:val="center"/>
            <w:hideMark/>
          </w:tcPr>
          <w:p w:rsidR="005B4AF9" w:rsidRPr="005B4AF9" w:rsidRDefault="005B4AF9" w:rsidP="005B4AF9">
            <w:pPr>
              <w:suppressAutoHyphens/>
              <w:spacing w:after="0"/>
              <w:jc w:val="center"/>
              <w:rPr>
                <w:rFonts w:ascii="Calibri" w:hAnsi="Calibri" w:cs="Calibri"/>
                <w:color w:val="000000"/>
                <w:sz w:val="18"/>
                <w:szCs w:val="18"/>
                <w:lang w:eastAsia="zh-CN"/>
              </w:rPr>
            </w:pPr>
            <w:r w:rsidRPr="005B4AF9">
              <w:rPr>
                <w:rFonts w:ascii="Calibri" w:hAnsi="Calibri" w:cs="Calibri"/>
                <w:color w:val="000000"/>
                <w:sz w:val="18"/>
                <w:szCs w:val="18"/>
                <w:lang w:eastAsia="zh-CN"/>
              </w:rPr>
              <w:t>88524XG</w:t>
            </w:r>
          </w:p>
        </w:tc>
        <w:tc>
          <w:tcPr>
            <w:tcW w:w="1418" w:type="dxa"/>
            <w:shd w:val="clear" w:color="auto" w:fill="auto"/>
            <w:noWrap/>
            <w:vAlign w:val="center"/>
            <w:hideMark/>
          </w:tcPr>
          <w:p w:rsidR="005B4AF9" w:rsidRPr="005B4AF9" w:rsidRDefault="005B4AF9" w:rsidP="005B4AF9">
            <w:pPr>
              <w:suppressAutoHyphens/>
              <w:spacing w:after="0"/>
              <w:jc w:val="center"/>
              <w:rPr>
                <w:rFonts w:ascii="Calibri" w:hAnsi="Calibri" w:cs="Calibri"/>
                <w:color w:val="000000"/>
                <w:sz w:val="18"/>
                <w:szCs w:val="18"/>
                <w:lang w:eastAsia="zh-CN"/>
              </w:rPr>
            </w:pPr>
            <w:r w:rsidRPr="005B4AF9">
              <w:rPr>
                <w:rFonts w:ascii="Calibri" w:hAnsi="Calibri" w:cs="Calibri"/>
                <w:color w:val="000000"/>
                <w:sz w:val="18"/>
                <w:szCs w:val="18"/>
                <w:lang w:eastAsia="zh-CN"/>
              </w:rPr>
              <w:t>99B7412</w:t>
            </w:r>
          </w:p>
        </w:tc>
        <w:tc>
          <w:tcPr>
            <w:tcW w:w="1417" w:type="dxa"/>
            <w:shd w:val="clear" w:color="auto" w:fill="auto"/>
            <w:vAlign w:val="center"/>
            <w:hideMark/>
          </w:tcPr>
          <w:p w:rsidR="005B4AF9" w:rsidRPr="005B4AF9" w:rsidRDefault="005B4AF9" w:rsidP="005B4AF9">
            <w:pPr>
              <w:suppressAutoHyphens/>
              <w:spacing w:after="0"/>
              <w:jc w:val="center"/>
              <w:rPr>
                <w:rFonts w:ascii="Calibri" w:hAnsi="Calibri" w:cs="Calibri"/>
                <w:sz w:val="18"/>
                <w:szCs w:val="18"/>
                <w:lang w:eastAsia="zh-CN"/>
              </w:rPr>
            </w:pPr>
            <w:r w:rsidRPr="005B4AF9">
              <w:rPr>
                <w:rFonts w:ascii="Calibri" w:hAnsi="Calibri" w:cs="Calibri"/>
                <w:sz w:val="18"/>
                <w:szCs w:val="18"/>
                <w:lang w:eastAsia="zh-CN"/>
              </w:rPr>
              <w:t>16.2.2015</w:t>
            </w:r>
          </w:p>
        </w:tc>
        <w:tc>
          <w:tcPr>
            <w:tcW w:w="1688" w:type="dxa"/>
            <w:shd w:val="clear" w:color="auto" w:fill="auto"/>
            <w:vAlign w:val="center"/>
            <w:hideMark/>
          </w:tcPr>
          <w:p w:rsidR="005B4AF9" w:rsidRPr="005B4AF9" w:rsidRDefault="005B4AF9" w:rsidP="005B4AF9">
            <w:pPr>
              <w:suppressAutoHyphens/>
              <w:spacing w:after="0"/>
              <w:jc w:val="center"/>
              <w:rPr>
                <w:rFonts w:ascii="Calibri" w:hAnsi="Calibri" w:cs="Calibri"/>
                <w:sz w:val="18"/>
                <w:szCs w:val="18"/>
                <w:lang w:eastAsia="zh-CN"/>
              </w:rPr>
            </w:pPr>
            <w:r w:rsidRPr="005B4AF9">
              <w:rPr>
                <w:rFonts w:ascii="Calibri" w:hAnsi="Calibri" w:cs="Calibri"/>
                <w:sz w:val="18"/>
                <w:szCs w:val="18"/>
                <w:lang w:eastAsia="zh-CN"/>
              </w:rPr>
              <w:t>15.2.2016</w:t>
            </w:r>
          </w:p>
        </w:tc>
        <w:tc>
          <w:tcPr>
            <w:tcW w:w="1431" w:type="dxa"/>
            <w:vAlign w:val="center"/>
          </w:tcPr>
          <w:p w:rsidR="005B4AF9" w:rsidRPr="005B4AF9" w:rsidRDefault="005B4AF9" w:rsidP="005B4AF9">
            <w:pPr>
              <w:suppressAutoHyphens/>
              <w:spacing w:after="0"/>
              <w:jc w:val="right"/>
              <w:rPr>
                <w:rFonts w:ascii="Calibri" w:hAnsi="Calibri" w:cs="Calibri"/>
                <w:sz w:val="18"/>
                <w:szCs w:val="18"/>
                <w:lang w:eastAsia="zh-CN"/>
              </w:rPr>
            </w:pPr>
          </w:p>
        </w:tc>
      </w:tr>
      <w:tr w:rsidR="005B4AF9" w:rsidRPr="005B4AF9" w:rsidTr="002227CB">
        <w:trPr>
          <w:trHeight w:val="288"/>
        </w:trPr>
        <w:tc>
          <w:tcPr>
            <w:tcW w:w="2000" w:type="dxa"/>
            <w:shd w:val="clear" w:color="auto" w:fill="auto"/>
            <w:noWrap/>
            <w:vAlign w:val="center"/>
            <w:hideMark/>
          </w:tcPr>
          <w:p w:rsidR="005B4AF9" w:rsidRPr="005B4AF9" w:rsidRDefault="005B4AF9" w:rsidP="005B4AF9">
            <w:pPr>
              <w:suppressAutoHyphens/>
              <w:spacing w:after="0"/>
              <w:jc w:val="left"/>
              <w:rPr>
                <w:rFonts w:ascii="Calibri" w:hAnsi="Calibri" w:cs="Calibri"/>
                <w:color w:val="000000"/>
                <w:sz w:val="18"/>
                <w:szCs w:val="18"/>
                <w:lang w:eastAsia="zh-CN"/>
              </w:rPr>
            </w:pPr>
            <w:r w:rsidRPr="005B4AF9">
              <w:rPr>
                <w:rFonts w:ascii="Calibri" w:hAnsi="Calibri" w:cs="Calibri"/>
                <w:color w:val="000000"/>
                <w:sz w:val="18"/>
                <w:szCs w:val="18"/>
                <w:lang w:eastAsia="zh-CN"/>
              </w:rPr>
              <w:t xml:space="preserve">Storwize 7000 </w:t>
            </w:r>
          </w:p>
        </w:tc>
        <w:tc>
          <w:tcPr>
            <w:tcW w:w="1417" w:type="dxa"/>
            <w:shd w:val="clear" w:color="auto" w:fill="auto"/>
            <w:noWrap/>
            <w:vAlign w:val="center"/>
            <w:hideMark/>
          </w:tcPr>
          <w:p w:rsidR="005B4AF9" w:rsidRPr="005B4AF9" w:rsidRDefault="005B4AF9" w:rsidP="005B4AF9">
            <w:pPr>
              <w:suppressAutoHyphens/>
              <w:spacing w:after="0"/>
              <w:jc w:val="center"/>
              <w:rPr>
                <w:rFonts w:ascii="Calibri" w:hAnsi="Calibri" w:cs="Calibri"/>
                <w:color w:val="000000"/>
                <w:sz w:val="18"/>
                <w:szCs w:val="18"/>
                <w:lang w:eastAsia="zh-CN"/>
              </w:rPr>
            </w:pPr>
            <w:r w:rsidRPr="005B4AF9">
              <w:rPr>
                <w:rFonts w:ascii="Calibri" w:hAnsi="Calibri" w:cs="Calibri"/>
                <w:color w:val="000000"/>
                <w:sz w:val="18"/>
                <w:szCs w:val="18"/>
                <w:lang w:eastAsia="zh-CN"/>
              </w:rPr>
              <w:t>2076/124</w:t>
            </w:r>
          </w:p>
        </w:tc>
        <w:tc>
          <w:tcPr>
            <w:tcW w:w="1418" w:type="dxa"/>
            <w:shd w:val="clear" w:color="auto" w:fill="auto"/>
            <w:vAlign w:val="center"/>
            <w:hideMark/>
          </w:tcPr>
          <w:p w:rsidR="005B4AF9" w:rsidRPr="005B4AF9" w:rsidRDefault="005B4AF9" w:rsidP="005B4AF9">
            <w:pPr>
              <w:suppressAutoHyphens/>
              <w:spacing w:after="0"/>
              <w:jc w:val="center"/>
              <w:rPr>
                <w:rFonts w:ascii="Calibri" w:hAnsi="Calibri" w:cs="Calibri"/>
                <w:color w:val="000000"/>
                <w:sz w:val="18"/>
                <w:szCs w:val="18"/>
                <w:lang w:eastAsia="zh-CN"/>
              </w:rPr>
            </w:pPr>
            <w:r w:rsidRPr="005B4AF9">
              <w:rPr>
                <w:rFonts w:ascii="Calibri" w:hAnsi="Calibri" w:cs="Calibri"/>
                <w:color w:val="000000"/>
                <w:sz w:val="18"/>
                <w:szCs w:val="18"/>
                <w:lang w:eastAsia="zh-CN"/>
              </w:rPr>
              <w:t>78N1856</w:t>
            </w:r>
          </w:p>
        </w:tc>
        <w:tc>
          <w:tcPr>
            <w:tcW w:w="1417" w:type="dxa"/>
            <w:shd w:val="clear" w:color="auto" w:fill="auto"/>
            <w:vAlign w:val="center"/>
            <w:hideMark/>
          </w:tcPr>
          <w:p w:rsidR="005B4AF9" w:rsidRPr="005B4AF9" w:rsidRDefault="005B4AF9" w:rsidP="005B4AF9">
            <w:pPr>
              <w:suppressAutoHyphens/>
              <w:spacing w:after="0"/>
              <w:jc w:val="center"/>
              <w:rPr>
                <w:rFonts w:ascii="Calibri" w:hAnsi="Calibri" w:cs="Calibri"/>
                <w:sz w:val="18"/>
                <w:szCs w:val="18"/>
                <w:lang w:eastAsia="zh-CN"/>
              </w:rPr>
            </w:pPr>
            <w:r w:rsidRPr="005B4AF9">
              <w:rPr>
                <w:rFonts w:ascii="Calibri" w:hAnsi="Calibri" w:cs="Calibri"/>
                <w:sz w:val="18"/>
                <w:szCs w:val="18"/>
                <w:lang w:eastAsia="zh-CN"/>
              </w:rPr>
              <w:t>16.2.2015</w:t>
            </w:r>
          </w:p>
        </w:tc>
        <w:tc>
          <w:tcPr>
            <w:tcW w:w="1688" w:type="dxa"/>
            <w:shd w:val="clear" w:color="auto" w:fill="auto"/>
            <w:vAlign w:val="center"/>
            <w:hideMark/>
          </w:tcPr>
          <w:p w:rsidR="005B4AF9" w:rsidRPr="005B4AF9" w:rsidRDefault="005B4AF9" w:rsidP="005B4AF9">
            <w:pPr>
              <w:suppressAutoHyphens/>
              <w:spacing w:after="0"/>
              <w:jc w:val="center"/>
              <w:rPr>
                <w:rFonts w:ascii="Calibri" w:hAnsi="Calibri" w:cs="Calibri"/>
                <w:sz w:val="18"/>
                <w:szCs w:val="18"/>
                <w:lang w:eastAsia="zh-CN"/>
              </w:rPr>
            </w:pPr>
            <w:r w:rsidRPr="005B4AF9">
              <w:rPr>
                <w:rFonts w:ascii="Calibri" w:hAnsi="Calibri" w:cs="Calibri"/>
                <w:sz w:val="18"/>
                <w:szCs w:val="18"/>
                <w:lang w:eastAsia="zh-CN"/>
              </w:rPr>
              <w:t>15.2.2016</w:t>
            </w:r>
          </w:p>
        </w:tc>
        <w:tc>
          <w:tcPr>
            <w:tcW w:w="1431" w:type="dxa"/>
            <w:vAlign w:val="center"/>
          </w:tcPr>
          <w:p w:rsidR="005B4AF9" w:rsidRPr="005B4AF9" w:rsidRDefault="005B4AF9" w:rsidP="005B4AF9">
            <w:pPr>
              <w:suppressAutoHyphens/>
              <w:spacing w:after="0"/>
              <w:jc w:val="right"/>
              <w:rPr>
                <w:rFonts w:ascii="Calibri" w:hAnsi="Calibri" w:cs="Calibri"/>
                <w:sz w:val="18"/>
                <w:szCs w:val="18"/>
                <w:lang w:eastAsia="zh-CN"/>
              </w:rPr>
            </w:pPr>
          </w:p>
        </w:tc>
      </w:tr>
      <w:tr w:rsidR="005B4AF9" w:rsidRPr="005B4AF9" w:rsidTr="002227CB">
        <w:trPr>
          <w:trHeight w:val="288"/>
        </w:trPr>
        <w:tc>
          <w:tcPr>
            <w:tcW w:w="2000" w:type="dxa"/>
            <w:shd w:val="clear" w:color="auto" w:fill="auto"/>
            <w:noWrap/>
            <w:vAlign w:val="center"/>
            <w:hideMark/>
          </w:tcPr>
          <w:p w:rsidR="005B4AF9" w:rsidRPr="005B4AF9" w:rsidRDefault="005B4AF9" w:rsidP="005B4AF9">
            <w:pPr>
              <w:suppressAutoHyphens/>
              <w:spacing w:after="0"/>
              <w:jc w:val="left"/>
              <w:rPr>
                <w:rFonts w:ascii="Calibri" w:hAnsi="Calibri" w:cs="Calibri"/>
                <w:color w:val="000000"/>
                <w:sz w:val="18"/>
                <w:szCs w:val="18"/>
                <w:lang w:eastAsia="zh-CN"/>
              </w:rPr>
            </w:pPr>
            <w:r w:rsidRPr="005B4AF9">
              <w:rPr>
                <w:rFonts w:ascii="Calibri" w:hAnsi="Calibri" w:cs="Calibri"/>
                <w:color w:val="000000"/>
                <w:sz w:val="18"/>
                <w:szCs w:val="18"/>
                <w:lang w:eastAsia="zh-CN"/>
              </w:rPr>
              <w:t xml:space="preserve">Storwize 7000 </w:t>
            </w:r>
          </w:p>
        </w:tc>
        <w:tc>
          <w:tcPr>
            <w:tcW w:w="1417" w:type="dxa"/>
            <w:shd w:val="clear" w:color="auto" w:fill="auto"/>
            <w:noWrap/>
            <w:vAlign w:val="center"/>
            <w:hideMark/>
          </w:tcPr>
          <w:p w:rsidR="005B4AF9" w:rsidRPr="005B4AF9" w:rsidRDefault="005B4AF9" w:rsidP="005B4AF9">
            <w:pPr>
              <w:suppressAutoHyphens/>
              <w:spacing w:after="0"/>
              <w:jc w:val="center"/>
              <w:rPr>
                <w:rFonts w:ascii="Calibri" w:hAnsi="Calibri" w:cs="Calibri"/>
                <w:color w:val="000000"/>
                <w:sz w:val="18"/>
                <w:szCs w:val="18"/>
                <w:lang w:eastAsia="zh-CN"/>
              </w:rPr>
            </w:pPr>
            <w:r w:rsidRPr="005B4AF9">
              <w:rPr>
                <w:rFonts w:ascii="Calibri" w:hAnsi="Calibri" w:cs="Calibri"/>
                <w:color w:val="000000"/>
                <w:sz w:val="18"/>
                <w:szCs w:val="18"/>
                <w:lang w:eastAsia="zh-CN"/>
              </w:rPr>
              <w:t>2076/224</w:t>
            </w:r>
          </w:p>
        </w:tc>
        <w:tc>
          <w:tcPr>
            <w:tcW w:w="1418" w:type="dxa"/>
            <w:shd w:val="clear" w:color="auto" w:fill="auto"/>
            <w:vAlign w:val="center"/>
            <w:hideMark/>
          </w:tcPr>
          <w:p w:rsidR="005B4AF9" w:rsidRPr="005B4AF9" w:rsidRDefault="005B4AF9" w:rsidP="005B4AF9">
            <w:pPr>
              <w:suppressAutoHyphens/>
              <w:spacing w:after="0"/>
              <w:jc w:val="center"/>
              <w:rPr>
                <w:rFonts w:ascii="Calibri" w:hAnsi="Calibri" w:cs="Calibri"/>
                <w:color w:val="000000"/>
                <w:sz w:val="18"/>
                <w:szCs w:val="18"/>
                <w:lang w:eastAsia="zh-CN"/>
              </w:rPr>
            </w:pPr>
            <w:r w:rsidRPr="005B4AF9">
              <w:rPr>
                <w:rFonts w:ascii="Calibri" w:hAnsi="Calibri" w:cs="Calibri"/>
                <w:color w:val="000000"/>
                <w:sz w:val="18"/>
                <w:szCs w:val="18"/>
                <w:lang w:eastAsia="zh-CN"/>
              </w:rPr>
              <w:t>78N18FN</w:t>
            </w:r>
          </w:p>
        </w:tc>
        <w:tc>
          <w:tcPr>
            <w:tcW w:w="1417" w:type="dxa"/>
            <w:shd w:val="clear" w:color="auto" w:fill="auto"/>
            <w:vAlign w:val="center"/>
            <w:hideMark/>
          </w:tcPr>
          <w:p w:rsidR="005B4AF9" w:rsidRPr="005B4AF9" w:rsidRDefault="005B4AF9" w:rsidP="005B4AF9">
            <w:pPr>
              <w:suppressAutoHyphens/>
              <w:spacing w:after="0"/>
              <w:jc w:val="center"/>
              <w:rPr>
                <w:rFonts w:ascii="Calibri" w:hAnsi="Calibri" w:cs="Calibri"/>
                <w:sz w:val="18"/>
                <w:szCs w:val="18"/>
                <w:lang w:eastAsia="zh-CN"/>
              </w:rPr>
            </w:pPr>
            <w:r w:rsidRPr="005B4AF9">
              <w:rPr>
                <w:rFonts w:ascii="Calibri" w:hAnsi="Calibri" w:cs="Calibri"/>
                <w:sz w:val="18"/>
                <w:szCs w:val="18"/>
                <w:lang w:eastAsia="zh-CN"/>
              </w:rPr>
              <w:t>16.2.2015</w:t>
            </w:r>
          </w:p>
        </w:tc>
        <w:tc>
          <w:tcPr>
            <w:tcW w:w="1688" w:type="dxa"/>
            <w:shd w:val="clear" w:color="auto" w:fill="auto"/>
            <w:vAlign w:val="center"/>
            <w:hideMark/>
          </w:tcPr>
          <w:p w:rsidR="005B4AF9" w:rsidRPr="005B4AF9" w:rsidRDefault="005B4AF9" w:rsidP="005B4AF9">
            <w:pPr>
              <w:suppressAutoHyphens/>
              <w:spacing w:after="0"/>
              <w:jc w:val="center"/>
              <w:rPr>
                <w:rFonts w:ascii="Calibri" w:hAnsi="Calibri" w:cs="Calibri"/>
                <w:sz w:val="18"/>
                <w:szCs w:val="18"/>
                <w:lang w:eastAsia="zh-CN"/>
              </w:rPr>
            </w:pPr>
            <w:r w:rsidRPr="005B4AF9">
              <w:rPr>
                <w:rFonts w:ascii="Calibri" w:hAnsi="Calibri" w:cs="Calibri"/>
                <w:sz w:val="18"/>
                <w:szCs w:val="18"/>
                <w:lang w:eastAsia="zh-CN"/>
              </w:rPr>
              <w:t>15.2.2016</w:t>
            </w:r>
          </w:p>
        </w:tc>
        <w:tc>
          <w:tcPr>
            <w:tcW w:w="1431" w:type="dxa"/>
            <w:vAlign w:val="center"/>
          </w:tcPr>
          <w:p w:rsidR="005B4AF9" w:rsidRPr="005B4AF9" w:rsidRDefault="005B4AF9" w:rsidP="005B4AF9">
            <w:pPr>
              <w:suppressAutoHyphens/>
              <w:spacing w:after="0"/>
              <w:jc w:val="right"/>
              <w:rPr>
                <w:rFonts w:ascii="Calibri" w:hAnsi="Calibri" w:cs="Calibri"/>
                <w:sz w:val="18"/>
                <w:szCs w:val="18"/>
                <w:lang w:eastAsia="zh-CN"/>
              </w:rPr>
            </w:pPr>
          </w:p>
        </w:tc>
      </w:tr>
      <w:tr w:rsidR="005B4AF9" w:rsidRPr="005B4AF9" w:rsidTr="002227CB">
        <w:trPr>
          <w:trHeight w:val="288"/>
        </w:trPr>
        <w:tc>
          <w:tcPr>
            <w:tcW w:w="7940" w:type="dxa"/>
            <w:gridSpan w:val="5"/>
            <w:shd w:val="clear" w:color="auto" w:fill="auto"/>
            <w:noWrap/>
            <w:vAlign w:val="center"/>
          </w:tcPr>
          <w:p w:rsidR="005B4AF9" w:rsidRPr="005B4AF9" w:rsidRDefault="005B4AF9" w:rsidP="005B4AF9">
            <w:pPr>
              <w:suppressAutoHyphens/>
              <w:spacing w:after="0"/>
              <w:jc w:val="left"/>
              <w:rPr>
                <w:rFonts w:ascii="Calibri" w:hAnsi="Calibri" w:cs="Calibri"/>
                <w:sz w:val="18"/>
                <w:szCs w:val="18"/>
                <w:lang w:eastAsia="zh-CN"/>
              </w:rPr>
            </w:pPr>
            <w:r w:rsidRPr="005B4AF9">
              <w:rPr>
                <w:rFonts w:ascii="Calibri" w:hAnsi="Calibri" w:cs="Calibri"/>
                <w:sz w:val="18"/>
                <w:szCs w:val="18"/>
                <w:lang w:eastAsia="zh-CN"/>
              </w:rPr>
              <w:t>Dílčí celková cena za Tabulku č. 1</w:t>
            </w:r>
          </w:p>
        </w:tc>
        <w:tc>
          <w:tcPr>
            <w:tcW w:w="1431" w:type="dxa"/>
            <w:vAlign w:val="center"/>
          </w:tcPr>
          <w:p w:rsidR="005B4AF9" w:rsidRPr="005B4AF9" w:rsidRDefault="005B4AF9" w:rsidP="005B4AF9">
            <w:pPr>
              <w:suppressAutoHyphens/>
              <w:spacing w:after="0"/>
              <w:jc w:val="right"/>
              <w:rPr>
                <w:rFonts w:ascii="Calibri" w:hAnsi="Calibri" w:cs="Calibri"/>
                <w:sz w:val="18"/>
                <w:szCs w:val="18"/>
                <w:lang w:eastAsia="zh-CN"/>
              </w:rPr>
            </w:pPr>
          </w:p>
        </w:tc>
      </w:tr>
    </w:tbl>
    <w:p w:rsidR="005B4AF9" w:rsidRPr="005B4AF9" w:rsidRDefault="005B4AF9" w:rsidP="005B4AF9">
      <w:pPr>
        <w:suppressAutoHyphens/>
        <w:spacing w:before="120" w:after="0"/>
        <w:rPr>
          <w:rFonts w:cs="Arial"/>
          <w:szCs w:val="20"/>
          <w:lang w:eastAsia="zh-CN"/>
        </w:rPr>
      </w:pPr>
      <w:r w:rsidRPr="005B4AF9">
        <w:rPr>
          <w:rFonts w:cs="Arial"/>
          <w:szCs w:val="20"/>
          <w:lang w:eastAsia="zh-CN"/>
        </w:rPr>
        <w:t>Tab. 2</w:t>
      </w:r>
    </w:p>
    <w:tbl>
      <w:tblPr>
        <w:tblW w:w="93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00"/>
        <w:gridCol w:w="1417"/>
        <w:gridCol w:w="1378"/>
        <w:gridCol w:w="1457"/>
        <w:gridCol w:w="1701"/>
        <w:gridCol w:w="1418"/>
      </w:tblGrid>
      <w:tr w:rsidR="005B4AF9" w:rsidRPr="005B4AF9" w:rsidTr="002227CB">
        <w:trPr>
          <w:trHeight w:val="492"/>
        </w:trPr>
        <w:tc>
          <w:tcPr>
            <w:tcW w:w="2000" w:type="dxa"/>
            <w:shd w:val="clear" w:color="333399" w:fill="538DD5"/>
            <w:vAlign w:val="center"/>
            <w:hideMark/>
          </w:tcPr>
          <w:p w:rsidR="005B4AF9" w:rsidRPr="005B4AF9" w:rsidRDefault="005B4AF9" w:rsidP="005B4AF9">
            <w:pPr>
              <w:suppressAutoHyphens/>
              <w:spacing w:after="0"/>
              <w:jc w:val="left"/>
              <w:rPr>
                <w:rFonts w:ascii="Calibri" w:hAnsi="Calibri" w:cs="Arial"/>
                <w:b/>
                <w:bCs/>
                <w:color w:val="FFFFFF"/>
                <w:sz w:val="18"/>
                <w:szCs w:val="18"/>
                <w:lang w:eastAsia="zh-CN"/>
              </w:rPr>
            </w:pPr>
            <w:r w:rsidRPr="005B4AF9">
              <w:rPr>
                <w:rFonts w:ascii="Calibri" w:hAnsi="Calibri" w:cs="Arial"/>
                <w:b/>
                <w:bCs/>
                <w:color w:val="FFFFFF"/>
                <w:sz w:val="18"/>
                <w:szCs w:val="18"/>
                <w:lang w:eastAsia="zh-CN"/>
              </w:rPr>
              <w:t>Název Zařízení</w:t>
            </w:r>
          </w:p>
        </w:tc>
        <w:tc>
          <w:tcPr>
            <w:tcW w:w="1417" w:type="dxa"/>
            <w:shd w:val="clear" w:color="333399" w:fill="538DD5"/>
            <w:vAlign w:val="center"/>
            <w:hideMark/>
          </w:tcPr>
          <w:p w:rsidR="005B4AF9" w:rsidRPr="005B4AF9" w:rsidRDefault="005B4AF9" w:rsidP="005B4AF9">
            <w:pPr>
              <w:suppressAutoHyphens/>
              <w:spacing w:after="0"/>
              <w:jc w:val="center"/>
              <w:rPr>
                <w:rFonts w:ascii="Calibri" w:hAnsi="Calibri" w:cs="Arial"/>
                <w:b/>
                <w:bCs/>
                <w:color w:val="FFFFFF"/>
                <w:sz w:val="18"/>
                <w:szCs w:val="18"/>
                <w:lang w:eastAsia="zh-CN"/>
              </w:rPr>
            </w:pPr>
            <w:r w:rsidRPr="005B4AF9">
              <w:rPr>
                <w:rFonts w:ascii="Calibri" w:hAnsi="Calibri" w:cs="Arial"/>
                <w:b/>
                <w:bCs/>
                <w:color w:val="FFFFFF"/>
                <w:sz w:val="18"/>
                <w:szCs w:val="18"/>
                <w:lang w:eastAsia="zh-CN"/>
              </w:rPr>
              <w:t>Typové označení</w:t>
            </w:r>
          </w:p>
        </w:tc>
        <w:tc>
          <w:tcPr>
            <w:tcW w:w="1378" w:type="dxa"/>
            <w:shd w:val="clear" w:color="333399" w:fill="538DD5"/>
            <w:vAlign w:val="center"/>
            <w:hideMark/>
          </w:tcPr>
          <w:p w:rsidR="005B4AF9" w:rsidRPr="005B4AF9" w:rsidRDefault="005B4AF9" w:rsidP="005B4AF9">
            <w:pPr>
              <w:suppressAutoHyphens/>
              <w:spacing w:after="0"/>
              <w:jc w:val="center"/>
              <w:rPr>
                <w:rFonts w:ascii="Calibri" w:hAnsi="Calibri" w:cs="Arial"/>
                <w:b/>
                <w:bCs/>
                <w:color w:val="FFFFFF"/>
                <w:sz w:val="18"/>
                <w:szCs w:val="18"/>
                <w:lang w:eastAsia="zh-CN"/>
              </w:rPr>
            </w:pPr>
            <w:r w:rsidRPr="005B4AF9">
              <w:rPr>
                <w:rFonts w:ascii="Calibri" w:hAnsi="Calibri" w:cs="Arial"/>
                <w:b/>
                <w:bCs/>
                <w:color w:val="FFFFFF"/>
                <w:sz w:val="18"/>
                <w:szCs w:val="18"/>
                <w:lang w:eastAsia="zh-CN"/>
              </w:rPr>
              <w:t>Service Number</w:t>
            </w:r>
          </w:p>
        </w:tc>
        <w:tc>
          <w:tcPr>
            <w:tcW w:w="1457" w:type="dxa"/>
            <w:shd w:val="clear" w:color="333399" w:fill="538DD5"/>
            <w:vAlign w:val="center"/>
            <w:hideMark/>
          </w:tcPr>
          <w:p w:rsidR="005B4AF9" w:rsidRPr="005B4AF9" w:rsidRDefault="005B4AF9" w:rsidP="005B4AF9">
            <w:pPr>
              <w:suppressAutoHyphens/>
              <w:spacing w:after="0"/>
              <w:jc w:val="center"/>
              <w:rPr>
                <w:rFonts w:ascii="Calibri" w:hAnsi="Calibri" w:cs="Arial"/>
                <w:b/>
                <w:bCs/>
                <w:color w:val="FFFFFF"/>
                <w:sz w:val="18"/>
                <w:szCs w:val="18"/>
                <w:lang w:eastAsia="zh-CN"/>
              </w:rPr>
            </w:pPr>
            <w:r w:rsidRPr="005B4AF9">
              <w:rPr>
                <w:rFonts w:ascii="Calibri" w:hAnsi="Calibri" w:cs="Arial"/>
                <w:b/>
                <w:bCs/>
                <w:color w:val="FFFFFF"/>
                <w:sz w:val="18"/>
                <w:szCs w:val="18"/>
                <w:lang w:eastAsia="zh-CN"/>
              </w:rPr>
              <w:t>začátek podpory</w:t>
            </w:r>
          </w:p>
        </w:tc>
        <w:tc>
          <w:tcPr>
            <w:tcW w:w="1701" w:type="dxa"/>
            <w:shd w:val="clear" w:color="333399" w:fill="538DD5"/>
            <w:vAlign w:val="center"/>
            <w:hideMark/>
          </w:tcPr>
          <w:p w:rsidR="005B4AF9" w:rsidRPr="005B4AF9" w:rsidRDefault="005B4AF9" w:rsidP="005B4AF9">
            <w:pPr>
              <w:suppressAutoHyphens/>
              <w:spacing w:after="0"/>
              <w:jc w:val="center"/>
              <w:rPr>
                <w:rFonts w:ascii="Calibri" w:hAnsi="Calibri" w:cs="Arial"/>
                <w:b/>
                <w:bCs/>
                <w:color w:val="FFFFFF"/>
                <w:sz w:val="18"/>
                <w:szCs w:val="18"/>
                <w:lang w:eastAsia="zh-CN"/>
              </w:rPr>
            </w:pPr>
            <w:r w:rsidRPr="005B4AF9">
              <w:rPr>
                <w:rFonts w:ascii="Calibri" w:hAnsi="Calibri" w:cs="Arial"/>
                <w:b/>
                <w:bCs/>
                <w:color w:val="FFFFFF"/>
                <w:sz w:val="18"/>
                <w:szCs w:val="18"/>
                <w:lang w:eastAsia="zh-CN"/>
              </w:rPr>
              <w:t>konec podpory</w:t>
            </w:r>
          </w:p>
        </w:tc>
        <w:tc>
          <w:tcPr>
            <w:tcW w:w="1418" w:type="dxa"/>
            <w:shd w:val="clear" w:color="333399" w:fill="538DD5"/>
            <w:vAlign w:val="center"/>
          </w:tcPr>
          <w:p w:rsidR="005B4AF9" w:rsidRPr="005B4AF9" w:rsidRDefault="005B4AF9" w:rsidP="005B4AF9">
            <w:pPr>
              <w:suppressAutoHyphens/>
              <w:spacing w:before="120" w:after="0"/>
              <w:jc w:val="center"/>
              <w:rPr>
                <w:rFonts w:ascii="Calibri" w:hAnsi="Calibri" w:cs="Arial"/>
                <w:b/>
                <w:bCs/>
                <w:color w:val="FFFFFF"/>
                <w:sz w:val="18"/>
                <w:szCs w:val="18"/>
                <w:lang w:eastAsia="zh-CN"/>
              </w:rPr>
            </w:pPr>
            <w:r w:rsidRPr="005B4AF9">
              <w:rPr>
                <w:rFonts w:ascii="Calibri" w:hAnsi="Calibri" w:cs="Arial"/>
                <w:b/>
                <w:bCs/>
                <w:color w:val="FFFFFF"/>
                <w:sz w:val="18"/>
                <w:szCs w:val="18"/>
                <w:lang w:eastAsia="zh-CN"/>
              </w:rPr>
              <w:t>Cena bez DPH</w:t>
            </w:r>
          </w:p>
        </w:tc>
      </w:tr>
      <w:tr w:rsidR="005B4AF9" w:rsidRPr="005B4AF9" w:rsidTr="002227CB">
        <w:trPr>
          <w:trHeight w:val="288"/>
        </w:trPr>
        <w:tc>
          <w:tcPr>
            <w:tcW w:w="2000" w:type="dxa"/>
            <w:shd w:val="clear" w:color="auto" w:fill="auto"/>
            <w:noWrap/>
            <w:vAlign w:val="center"/>
            <w:hideMark/>
          </w:tcPr>
          <w:p w:rsidR="005B4AF9" w:rsidRPr="005B4AF9" w:rsidRDefault="005B4AF9" w:rsidP="005B4AF9">
            <w:pPr>
              <w:suppressAutoHyphens/>
              <w:spacing w:after="0"/>
              <w:jc w:val="left"/>
              <w:rPr>
                <w:rFonts w:ascii="Calibri" w:hAnsi="Calibri" w:cs="Calibri"/>
                <w:color w:val="000000"/>
                <w:sz w:val="18"/>
                <w:szCs w:val="18"/>
                <w:lang w:eastAsia="zh-CN"/>
              </w:rPr>
            </w:pPr>
            <w:r w:rsidRPr="005B4AF9">
              <w:rPr>
                <w:rFonts w:ascii="Calibri" w:hAnsi="Calibri" w:cs="Calibri"/>
                <w:color w:val="000000"/>
                <w:sz w:val="18"/>
                <w:szCs w:val="18"/>
                <w:lang w:eastAsia="zh-CN"/>
              </w:rPr>
              <w:t>TS3200 TAPE LIBRARY</w:t>
            </w:r>
          </w:p>
        </w:tc>
        <w:tc>
          <w:tcPr>
            <w:tcW w:w="1417" w:type="dxa"/>
            <w:shd w:val="clear" w:color="auto" w:fill="auto"/>
            <w:noWrap/>
            <w:vAlign w:val="center"/>
            <w:hideMark/>
          </w:tcPr>
          <w:p w:rsidR="005B4AF9" w:rsidRPr="005B4AF9" w:rsidRDefault="005B4AF9" w:rsidP="005B4AF9">
            <w:pPr>
              <w:suppressAutoHyphens/>
              <w:spacing w:after="0"/>
              <w:jc w:val="center"/>
              <w:rPr>
                <w:rFonts w:ascii="Calibri" w:hAnsi="Calibri" w:cs="Calibri"/>
                <w:color w:val="000000"/>
                <w:sz w:val="18"/>
                <w:szCs w:val="18"/>
                <w:lang w:eastAsia="zh-CN"/>
              </w:rPr>
            </w:pPr>
            <w:r w:rsidRPr="005B4AF9">
              <w:rPr>
                <w:rFonts w:ascii="Calibri" w:hAnsi="Calibri" w:cs="Calibri"/>
                <w:color w:val="000000"/>
                <w:sz w:val="18"/>
                <w:szCs w:val="18"/>
                <w:lang w:eastAsia="zh-CN"/>
              </w:rPr>
              <w:t>3573/L4U</w:t>
            </w:r>
          </w:p>
        </w:tc>
        <w:tc>
          <w:tcPr>
            <w:tcW w:w="1378" w:type="dxa"/>
            <w:shd w:val="clear" w:color="auto" w:fill="auto"/>
            <w:noWrap/>
            <w:vAlign w:val="center"/>
            <w:hideMark/>
          </w:tcPr>
          <w:p w:rsidR="005B4AF9" w:rsidRPr="005B4AF9" w:rsidRDefault="005B4AF9" w:rsidP="005B4AF9">
            <w:pPr>
              <w:suppressAutoHyphens/>
              <w:spacing w:after="0"/>
              <w:jc w:val="center"/>
              <w:rPr>
                <w:rFonts w:ascii="Calibri" w:hAnsi="Calibri" w:cs="Calibri"/>
                <w:color w:val="000000"/>
                <w:sz w:val="18"/>
                <w:szCs w:val="18"/>
                <w:lang w:eastAsia="zh-CN"/>
              </w:rPr>
            </w:pPr>
            <w:r w:rsidRPr="005B4AF9">
              <w:rPr>
                <w:rFonts w:ascii="Calibri" w:hAnsi="Calibri" w:cs="Calibri"/>
                <w:color w:val="000000"/>
                <w:sz w:val="18"/>
                <w:szCs w:val="18"/>
                <w:lang w:eastAsia="zh-CN"/>
              </w:rPr>
              <w:t>78H2173</w:t>
            </w:r>
          </w:p>
        </w:tc>
        <w:tc>
          <w:tcPr>
            <w:tcW w:w="1457" w:type="dxa"/>
            <w:shd w:val="clear" w:color="auto" w:fill="auto"/>
            <w:vAlign w:val="center"/>
            <w:hideMark/>
          </w:tcPr>
          <w:p w:rsidR="005B4AF9" w:rsidRPr="005B4AF9" w:rsidRDefault="005B4AF9" w:rsidP="005B4AF9">
            <w:pPr>
              <w:suppressAutoHyphens/>
              <w:spacing w:after="0"/>
              <w:jc w:val="center"/>
              <w:rPr>
                <w:rFonts w:ascii="Calibri" w:hAnsi="Calibri" w:cs="Calibri"/>
                <w:sz w:val="18"/>
                <w:szCs w:val="18"/>
                <w:lang w:eastAsia="zh-CN"/>
              </w:rPr>
            </w:pPr>
            <w:r w:rsidRPr="005B4AF9">
              <w:rPr>
                <w:rFonts w:ascii="Calibri" w:hAnsi="Calibri" w:cs="Calibri"/>
                <w:sz w:val="18"/>
                <w:szCs w:val="18"/>
                <w:lang w:eastAsia="zh-CN"/>
              </w:rPr>
              <w:t>16.2.2015</w:t>
            </w:r>
          </w:p>
        </w:tc>
        <w:tc>
          <w:tcPr>
            <w:tcW w:w="1701" w:type="dxa"/>
            <w:shd w:val="clear" w:color="auto" w:fill="auto"/>
            <w:vAlign w:val="center"/>
            <w:hideMark/>
          </w:tcPr>
          <w:p w:rsidR="005B4AF9" w:rsidRPr="005B4AF9" w:rsidRDefault="005B4AF9" w:rsidP="005B4AF9">
            <w:pPr>
              <w:suppressAutoHyphens/>
              <w:spacing w:after="0"/>
              <w:jc w:val="center"/>
              <w:rPr>
                <w:rFonts w:ascii="Calibri" w:hAnsi="Calibri" w:cs="Calibri"/>
                <w:sz w:val="18"/>
                <w:szCs w:val="18"/>
                <w:lang w:eastAsia="zh-CN"/>
              </w:rPr>
            </w:pPr>
            <w:r w:rsidRPr="005B4AF9">
              <w:rPr>
                <w:rFonts w:ascii="Calibri" w:hAnsi="Calibri" w:cs="Calibri"/>
                <w:sz w:val="18"/>
                <w:szCs w:val="18"/>
                <w:lang w:eastAsia="zh-CN"/>
              </w:rPr>
              <w:t>15.2.2016</w:t>
            </w:r>
          </w:p>
        </w:tc>
        <w:tc>
          <w:tcPr>
            <w:tcW w:w="1418" w:type="dxa"/>
            <w:vAlign w:val="center"/>
          </w:tcPr>
          <w:p w:rsidR="005B4AF9" w:rsidRPr="005B4AF9" w:rsidRDefault="005B4AF9" w:rsidP="005B4AF9">
            <w:pPr>
              <w:suppressAutoHyphens/>
              <w:spacing w:after="0"/>
              <w:jc w:val="right"/>
              <w:rPr>
                <w:rFonts w:ascii="Calibri" w:hAnsi="Calibri" w:cs="Calibri"/>
                <w:sz w:val="18"/>
                <w:szCs w:val="18"/>
                <w:lang w:eastAsia="zh-CN"/>
              </w:rPr>
            </w:pPr>
          </w:p>
        </w:tc>
      </w:tr>
      <w:tr w:rsidR="005B4AF9" w:rsidRPr="005B4AF9" w:rsidTr="002227CB">
        <w:trPr>
          <w:trHeight w:val="288"/>
        </w:trPr>
        <w:tc>
          <w:tcPr>
            <w:tcW w:w="2000" w:type="dxa"/>
            <w:shd w:val="clear" w:color="auto" w:fill="auto"/>
            <w:noWrap/>
            <w:vAlign w:val="center"/>
            <w:hideMark/>
          </w:tcPr>
          <w:p w:rsidR="005B4AF9" w:rsidRPr="005B4AF9" w:rsidRDefault="005B4AF9" w:rsidP="005B4AF9">
            <w:pPr>
              <w:suppressAutoHyphens/>
              <w:spacing w:after="0"/>
              <w:jc w:val="left"/>
              <w:rPr>
                <w:rFonts w:ascii="Calibri" w:hAnsi="Calibri" w:cs="Calibri"/>
                <w:color w:val="000000"/>
                <w:sz w:val="18"/>
                <w:szCs w:val="18"/>
                <w:lang w:eastAsia="zh-CN"/>
              </w:rPr>
            </w:pPr>
            <w:r w:rsidRPr="005B4AF9">
              <w:rPr>
                <w:rFonts w:ascii="Calibri" w:hAnsi="Calibri" w:cs="Calibri"/>
                <w:color w:val="000000"/>
                <w:sz w:val="18"/>
                <w:szCs w:val="18"/>
                <w:lang w:eastAsia="zh-CN"/>
              </w:rPr>
              <w:t>TS3200 TAPE LIBRARY</w:t>
            </w:r>
          </w:p>
        </w:tc>
        <w:tc>
          <w:tcPr>
            <w:tcW w:w="1417" w:type="dxa"/>
            <w:shd w:val="clear" w:color="auto" w:fill="auto"/>
            <w:noWrap/>
            <w:vAlign w:val="center"/>
            <w:hideMark/>
          </w:tcPr>
          <w:p w:rsidR="005B4AF9" w:rsidRPr="005B4AF9" w:rsidRDefault="005B4AF9" w:rsidP="005B4AF9">
            <w:pPr>
              <w:suppressAutoHyphens/>
              <w:spacing w:after="0"/>
              <w:jc w:val="center"/>
              <w:rPr>
                <w:rFonts w:ascii="Calibri" w:hAnsi="Calibri" w:cs="Calibri"/>
                <w:color w:val="000000"/>
                <w:sz w:val="18"/>
                <w:szCs w:val="18"/>
                <w:lang w:eastAsia="zh-CN"/>
              </w:rPr>
            </w:pPr>
            <w:r w:rsidRPr="005B4AF9">
              <w:rPr>
                <w:rFonts w:ascii="Calibri" w:hAnsi="Calibri" w:cs="Calibri"/>
                <w:color w:val="000000"/>
                <w:sz w:val="18"/>
                <w:szCs w:val="18"/>
                <w:lang w:eastAsia="zh-CN"/>
              </w:rPr>
              <w:t>3573/L4U</w:t>
            </w:r>
          </w:p>
        </w:tc>
        <w:tc>
          <w:tcPr>
            <w:tcW w:w="1378" w:type="dxa"/>
            <w:shd w:val="clear" w:color="auto" w:fill="auto"/>
            <w:noWrap/>
            <w:vAlign w:val="center"/>
            <w:hideMark/>
          </w:tcPr>
          <w:p w:rsidR="005B4AF9" w:rsidRPr="005B4AF9" w:rsidRDefault="005B4AF9" w:rsidP="005B4AF9">
            <w:pPr>
              <w:suppressAutoHyphens/>
              <w:spacing w:after="0"/>
              <w:jc w:val="center"/>
              <w:rPr>
                <w:rFonts w:ascii="Calibri" w:hAnsi="Calibri" w:cs="Calibri"/>
                <w:color w:val="000000"/>
                <w:sz w:val="18"/>
                <w:szCs w:val="18"/>
                <w:lang w:eastAsia="zh-CN"/>
              </w:rPr>
            </w:pPr>
            <w:r w:rsidRPr="005B4AF9">
              <w:rPr>
                <w:rFonts w:ascii="Calibri" w:hAnsi="Calibri" w:cs="Calibri"/>
                <w:color w:val="000000"/>
                <w:sz w:val="18"/>
                <w:szCs w:val="18"/>
                <w:lang w:eastAsia="zh-CN"/>
              </w:rPr>
              <w:t>78A0587</w:t>
            </w:r>
          </w:p>
        </w:tc>
        <w:tc>
          <w:tcPr>
            <w:tcW w:w="1457" w:type="dxa"/>
            <w:shd w:val="clear" w:color="auto" w:fill="auto"/>
            <w:vAlign w:val="center"/>
            <w:hideMark/>
          </w:tcPr>
          <w:p w:rsidR="005B4AF9" w:rsidRPr="005B4AF9" w:rsidRDefault="005B4AF9" w:rsidP="005B4AF9">
            <w:pPr>
              <w:suppressAutoHyphens/>
              <w:spacing w:after="0"/>
              <w:jc w:val="center"/>
              <w:rPr>
                <w:rFonts w:ascii="Calibri" w:hAnsi="Calibri" w:cs="Calibri"/>
                <w:sz w:val="18"/>
                <w:szCs w:val="18"/>
                <w:lang w:eastAsia="zh-CN"/>
              </w:rPr>
            </w:pPr>
            <w:r w:rsidRPr="005B4AF9">
              <w:rPr>
                <w:rFonts w:ascii="Calibri" w:hAnsi="Calibri" w:cs="Calibri"/>
                <w:sz w:val="18"/>
                <w:szCs w:val="18"/>
                <w:lang w:eastAsia="zh-CN"/>
              </w:rPr>
              <w:t>16.2.2015</w:t>
            </w:r>
          </w:p>
        </w:tc>
        <w:tc>
          <w:tcPr>
            <w:tcW w:w="1701" w:type="dxa"/>
            <w:shd w:val="clear" w:color="auto" w:fill="auto"/>
            <w:vAlign w:val="center"/>
            <w:hideMark/>
          </w:tcPr>
          <w:p w:rsidR="005B4AF9" w:rsidRPr="005B4AF9" w:rsidRDefault="005B4AF9" w:rsidP="005B4AF9">
            <w:pPr>
              <w:suppressAutoHyphens/>
              <w:spacing w:after="0"/>
              <w:jc w:val="center"/>
              <w:rPr>
                <w:rFonts w:ascii="Calibri" w:hAnsi="Calibri" w:cs="Calibri"/>
                <w:sz w:val="18"/>
                <w:szCs w:val="18"/>
                <w:lang w:eastAsia="zh-CN"/>
              </w:rPr>
            </w:pPr>
            <w:r w:rsidRPr="005B4AF9">
              <w:rPr>
                <w:rFonts w:ascii="Calibri" w:hAnsi="Calibri" w:cs="Calibri"/>
                <w:sz w:val="18"/>
                <w:szCs w:val="18"/>
                <w:lang w:eastAsia="zh-CN"/>
              </w:rPr>
              <w:t>15.2.2016</w:t>
            </w:r>
          </w:p>
        </w:tc>
        <w:tc>
          <w:tcPr>
            <w:tcW w:w="1418" w:type="dxa"/>
            <w:vAlign w:val="center"/>
          </w:tcPr>
          <w:p w:rsidR="005B4AF9" w:rsidRPr="005B4AF9" w:rsidRDefault="005B4AF9" w:rsidP="005B4AF9">
            <w:pPr>
              <w:suppressAutoHyphens/>
              <w:spacing w:after="0"/>
              <w:jc w:val="right"/>
              <w:rPr>
                <w:rFonts w:ascii="Calibri" w:hAnsi="Calibri" w:cs="Calibri"/>
                <w:sz w:val="18"/>
                <w:szCs w:val="18"/>
                <w:lang w:eastAsia="zh-CN"/>
              </w:rPr>
            </w:pPr>
          </w:p>
        </w:tc>
      </w:tr>
      <w:tr w:rsidR="005B4AF9" w:rsidRPr="005B4AF9" w:rsidTr="002227CB">
        <w:trPr>
          <w:trHeight w:val="288"/>
        </w:trPr>
        <w:tc>
          <w:tcPr>
            <w:tcW w:w="2000" w:type="dxa"/>
            <w:shd w:val="clear" w:color="auto" w:fill="auto"/>
            <w:noWrap/>
            <w:vAlign w:val="center"/>
            <w:hideMark/>
          </w:tcPr>
          <w:p w:rsidR="005B4AF9" w:rsidRPr="005B4AF9" w:rsidRDefault="005B4AF9" w:rsidP="005B4AF9">
            <w:pPr>
              <w:suppressAutoHyphens/>
              <w:spacing w:after="0"/>
              <w:jc w:val="left"/>
              <w:rPr>
                <w:rFonts w:ascii="Calibri" w:hAnsi="Calibri" w:cs="Calibri"/>
                <w:color w:val="000000"/>
                <w:sz w:val="18"/>
                <w:szCs w:val="18"/>
                <w:lang w:eastAsia="zh-CN"/>
              </w:rPr>
            </w:pPr>
            <w:r w:rsidRPr="005B4AF9">
              <w:rPr>
                <w:rFonts w:ascii="Calibri" w:hAnsi="Calibri" w:cs="Calibri"/>
                <w:color w:val="000000"/>
                <w:sz w:val="18"/>
                <w:szCs w:val="18"/>
                <w:lang w:eastAsia="zh-CN"/>
              </w:rPr>
              <w:t>DS4800 DISK SYSTEM MOD 82</w:t>
            </w:r>
          </w:p>
        </w:tc>
        <w:tc>
          <w:tcPr>
            <w:tcW w:w="1417" w:type="dxa"/>
            <w:shd w:val="clear" w:color="auto" w:fill="auto"/>
            <w:noWrap/>
            <w:vAlign w:val="center"/>
            <w:hideMark/>
          </w:tcPr>
          <w:p w:rsidR="005B4AF9" w:rsidRPr="005B4AF9" w:rsidRDefault="005B4AF9" w:rsidP="005B4AF9">
            <w:pPr>
              <w:suppressAutoHyphens/>
              <w:spacing w:after="0"/>
              <w:jc w:val="center"/>
              <w:rPr>
                <w:rFonts w:ascii="Calibri" w:hAnsi="Calibri" w:cs="Calibri"/>
                <w:color w:val="000000"/>
                <w:sz w:val="18"/>
                <w:szCs w:val="18"/>
                <w:lang w:eastAsia="zh-CN"/>
              </w:rPr>
            </w:pPr>
            <w:r w:rsidRPr="005B4AF9">
              <w:rPr>
                <w:rFonts w:ascii="Calibri" w:hAnsi="Calibri" w:cs="Calibri"/>
                <w:color w:val="000000"/>
                <w:sz w:val="18"/>
                <w:szCs w:val="18"/>
                <w:lang w:eastAsia="zh-CN"/>
              </w:rPr>
              <w:t>1815/82A</w:t>
            </w:r>
          </w:p>
        </w:tc>
        <w:tc>
          <w:tcPr>
            <w:tcW w:w="1378" w:type="dxa"/>
            <w:shd w:val="clear" w:color="auto" w:fill="auto"/>
            <w:vAlign w:val="center"/>
            <w:hideMark/>
          </w:tcPr>
          <w:p w:rsidR="005B4AF9" w:rsidRPr="005B4AF9" w:rsidRDefault="005B4AF9" w:rsidP="005B4AF9">
            <w:pPr>
              <w:suppressAutoHyphens/>
              <w:spacing w:after="0"/>
              <w:jc w:val="center"/>
              <w:rPr>
                <w:rFonts w:ascii="Calibri" w:hAnsi="Calibri" w:cs="Calibri"/>
                <w:color w:val="000000"/>
                <w:sz w:val="18"/>
                <w:szCs w:val="18"/>
                <w:lang w:eastAsia="zh-CN"/>
              </w:rPr>
            </w:pPr>
            <w:r w:rsidRPr="005B4AF9">
              <w:rPr>
                <w:rFonts w:ascii="Calibri" w:hAnsi="Calibri" w:cs="Calibri"/>
                <w:color w:val="000000"/>
                <w:sz w:val="18"/>
                <w:szCs w:val="18"/>
                <w:lang w:eastAsia="zh-CN"/>
              </w:rPr>
              <w:t>130759W</w:t>
            </w:r>
          </w:p>
        </w:tc>
        <w:tc>
          <w:tcPr>
            <w:tcW w:w="1457" w:type="dxa"/>
            <w:shd w:val="clear" w:color="auto" w:fill="auto"/>
            <w:vAlign w:val="center"/>
            <w:hideMark/>
          </w:tcPr>
          <w:p w:rsidR="005B4AF9" w:rsidRPr="005B4AF9" w:rsidRDefault="005B4AF9" w:rsidP="005B4AF9">
            <w:pPr>
              <w:suppressAutoHyphens/>
              <w:spacing w:after="0"/>
              <w:jc w:val="center"/>
              <w:rPr>
                <w:rFonts w:ascii="Calibri" w:hAnsi="Calibri" w:cs="Calibri"/>
                <w:sz w:val="18"/>
                <w:szCs w:val="18"/>
                <w:lang w:eastAsia="zh-CN"/>
              </w:rPr>
            </w:pPr>
            <w:r w:rsidRPr="005B4AF9">
              <w:rPr>
                <w:rFonts w:ascii="Calibri" w:hAnsi="Calibri" w:cs="Calibri"/>
                <w:sz w:val="18"/>
                <w:szCs w:val="18"/>
                <w:lang w:eastAsia="zh-CN"/>
              </w:rPr>
              <w:t>16.2.2015</w:t>
            </w:r>
          </w:p>
        </w:tc>
        <w:tc>
          <w:tcPr>
            <w:tcW w:w="1701" w:type="dxa"/>
            <w:shd w:val="clear" w:color="auto" w:fill="auto"/>
            <w:vAlign w:val="center"/>
            <w:hideMark/>
          </w:tcPr>
          <w:p w:rsidR="005B4AF9" w:rsidRPr="005B4AF9" w:rsidRDefault="005B4AF9" w:rsidP="005B4AF9">
            <w:pPr>
              <w:suppressAutoHyphens/>
              <w:spacing w:after="0"/>
              <w:jc w:val="center"/>
              <w:rPr>
                <w:rFonts w:ascii="Calibri" w:hAnsi="Calibri" w:cs="Calibri"/>
                <w:sz w:val="18"/>
                <w:szCs w:val="18"/>
                <w:lang w:eastAsia="zh-CN"/>
              </w:rPr>
            </w:pPr>
            <w:r w:rsidRPr="005B4AF9">
              <w:rPr>
                <w:rFonts w:ascii="Calibri" w:hAnsi="Calibri" w:cs="Calibri"/>
                <w:sz w:val="18"/>
                <w:szCs w:val="18"/>
                <w:lang w:eastAsia="zh-CN"/>
              </w:rPr>
              <w:t>15.2.2016</w:t>
            </w:r>
          </w:p>
        </w:tc>
        <w:tc>
          <w:tcPr>
            <w:tcW w:w="1418" w:type="dxa"/>
            <w:vAlign w:val="center"/>
          </w:tcPr>
          <w:p w:rsidR="005B4AF9" w:rsidRPr="005B4AF9" w:rsidRDefault="005B4AF9" w:rsidP="005B4AF9">
            <w:pPr>
              <w:suppressAutoHyphens/>
              <w:spacing w:after="0"/>
              <w:jc w:val="right"/>
              <w:rPr>
                <w:rFonts w:ascii="Calibri" w:hAnsi="Calibri" w:cs="Calibri"/>
                <w:sz w:val="18"/>
                <w:szCs w:val="18"/>
                <w:lang w:eastAsia="zh-CN"/>
              </w:rPr>
            </w:pPr>
          </w:p>
        </w:tc>
      </w:tr>
      <w:tr w:rsidR="005B4AF9" w:rsidRPr="005B4AF9" w:rsidTr="002227CB">
        <w:trPr>
          <w:trHeight w:val="288"/>
        </w:trPr>
        <w:tc>
          <w:tcPr>
            <w:tcW w:w="2000" w:type="dxa"/>
            <w:shd w:val="clear" w:color="auto" w:fill="auto"/>
            <w:noWrap/>
            <w:vAlign w:val="center"/>
            <w:hideMark/>
          </w:tcPr>
          <w:p w:rsidR="005B4AF9" w:rsidRPr="005B4AF9" w:rsidRDefault="005B4AF9" w:rsidP="005B4AF9">
            <w:pPr>
              <w:suppressAutoHyphens/>
              <w:spacing w:after="0"/>
              <w:jc w:val="left"/>
              <w:rPr>
                <w:rFonts w:ascii="Calibri" w:hAnsi="Calibri" w:cs="Calibri"/>
                <w:color w:val="000000"/>
                <w:sz w:val="18"/>
                <w:szCs w:val="18"/>
                <w:lang w:eastAsia="zh-CN"/>
              </w:rPr>
            </w:pPr>
            <w:r w:rsidRPr="005B4AF9">
              <w:rPr>
                <w:rFonts w:ascii="Calibri" w:hAnsi="Calibri" w:cs="Calibri"/>
                <w:color w:val="000000"/>
                <w:sz w:val="18"/>
                <w:szCs w:val="18"/>
                <w:lang w:eastAsia="zh-CN"/>
              </w:rPr>
              <w:t>PS702 8406 71Y</w:t>
            </w:r>
          </w:p>
        </w:tc>
        <w:tc>
          <w:tcPr>
            <w:tcW w:w="1417" w:type="dxa"/>
            <w:shd w:val="clear" w:color="auto" w:fill="auto"/>
            <w:noWrap/>
            <w:vAlign w:val="center"/>
            <w:hideMark/>
          </w:tcPr>
          <w:p w:rsidR="005B4AF9" w:rsidRPr="005B4AF9" w:rsidRDefault="005B4AF9" w:rsidP="005B4AF9">
            <w:pPr>
              <w:suppressAutoHyphens/>
              <w:spacing w:after="0"/>
              <w:jc w:val="center"/>
              <w:rPr>
                <w:rFonts w:ascii="Calibri" w:hAnsi="Calibri" w:cs="Calibri"/>
                <w:color w:val="000000"/>
                <w:sz w:val="18"/>
                <w:szCs w:val="18"/>
                <w:lang w:eastAsia="zh-CN"/>
              </w:rPr>
            </w:pPr>
            <w:r w:rsidRPr="005B4AF9">
              <w:rPr>
                <w:rFonts w:ascii="Calibri" w:hAnsi="Calibri" w:cs="Calibri"/>
                <w:color w:val="000000"/>
                <w:sz w:val="18"/>
                <w:szCs w:val="18"/>
                <w:lang w:eastAsia="zh-CN"/>
              </w:rPr>
              <w:t>8406/71Y</w:t>
            </w:r>
          </w:p>
        </w:tc>
        <w:tc>
          <w:tcPr>
            <w:tcW w:w="1378" w:type="dxa"/>
            <w:shd w:val="clear" w:color="auto" w:fill="auto"/>
            <w:noWrap/>
            <w:vAlign w:val="center"/>
            <w:hideMark/>
          </w:tcPr>
          <w:p w:rsidR="005B4AF9" w:rsidRPr="005B4AF9" w:rsidRDefault="005B4AF9" w:rsidP="005B4AF9">
            <w:pPr>
              <w:suppressAutoHyphens/>
              <w:spacing w:after="0"/>
              <w:jc w:val="center"/>
              <w:rPr>
                <w:rFonts w:ascii="Calibri" w:hAnsi="Calibri" w:cs="Calibri"/>
                <w:sz w:val="18"/>
                <w:szCs w:val="18"/>
                <w:lang w:eastAsia="zh-CN"/>
              </w:rPr>
            </w:pPr>
            <w:r w:rsidRPr="005B4AF9">
              <w:rPr>
                <w:rFonts w:ascii="Calibri" w:hAnsi="Calibri" w:cs="Calibri"/>
                <w:sz w:val="18"/>
                <w:szCs w:val="18"/>
                <w:lang w:eastAsia="zh-CN"/>
              </w:rPr>
              <w:t>060910B</w:t>
            </w:r>
          </w:p>
        </w:tc>
        <w:tc>
          <w:tcPr>
            <w:tcW w:w="1457" w:type="dxa"/>
            <w:shd w:val="clear" w:color="auto" w:fill="auto"/>
            <w:noWrap/>
            <w:vAlign w:val="center"/>
            <w:hideMark/>
          </w:tcPr>
          <w:p w:rsidR="005B4AF9" w:rsidRPr="005B4AF9" w:rsidRDefault="005B4AF9" w:rsidP="005B4AF9">
            <w:pPr>
              <w:suppressAutoHyphens/>
              <w:spacing w:after="0"/>
              <w:jc w:val="center"/>
              <w:rPr>
                <w:rFonts w:ascii="Calibri" w:hAnsi="Calibri" w:cs="Calibri"/>
                <w:color w:val="000000"/>
                <w:sz w:val="18"/>
                <w:szCs w:val="18"/>
                <w:lang w:eastAsia="zh-CN"/>
              </w:rPr>
            </w:pPr>
            <w:r w:rsidRPr="005B4AF9">
              <w:rPr>
                <w:rFonts w:ascii="Calibri" w:hAnsi="Calibri" w:cs="Calibri"/>
                <w:color w:val="000000"/>
                <w:sz w:val="18"/>
                <w:szCs w:val="18"/>
                <w:lang w:eastAsia="zh-CN"/>
              </w:rPr>
              <w:t>podpisem sml.</w:t>
            </w:r>
          </w:p>
        </w:tc>
        <w:tc>
          <w:tcPr>
            <w:tcW w:w="1701" w:type="dxa"/>
            <w:shd w:val="clear" w:color="auto" w:fill="auto"/>
            <w:vAlign w:val="center"/>
            <w:hideMark/>
          </w:tcPr>
          <w:p w:rsidR="005B4AF9" w:rsidRPr="005B4AF9" w:rsidRDefault="005B4AF9" w:rsidP="005B4AF9">
            <w:pPr>
              <w:suppressAutoHyphens/>
              <w:spacing w:after="0"/>
              <w:jc w:val="center"/>
              <w:rPr>
                <w:rFonts w:ascii="Calibri" w:hAnsi="Calibri" w:cs="Calibri"/>
                <w:sz w:val="18"/>
                <w:szCs w:val="18"/>
                <w:lang w:eastAsia="zh-CN"/>
              </w:rPr>
            </w:pPr>
            <w:r w:rsidRPr="005B4AF9">
              <w:rPr>
                <w:rFonts w:ascii="Calibri" w:hAnsi="Calibri" w:cs="Calibri"/>
                <w:sz w:val="18"/>
                <w:szCs w:val="18"/>
                <w:lang w:eastAsia="zh-CN"/>
              </w:rPr>
              <w:t>15.2.2016</w:t>
            </w:r>
          </w:p>
        </w:tc>
        <w:tc>
          <w:tcPr>
            <w:tcW w:w="1418" w:type="dxa"/>
            <w:vAlign w:val="center"/>
          </w:tcPr>
          <w:p w:rsidR="005B4AF9" w:rsidRPr="005B4AF9" w:rsidRDefault="005B4AF9" w:rsidP="005B4AF9">
            <w:pPr>
              <w:suppressAutoHyphens/>
              <w:spacing w:after="0"/>
              <w:jc w:val="right"/>
              <w:rPr>
                <w:rFonts w:ascii="Calibri" w:hAnsi="Calibri" w:cs="Calibri"/>
                <w:sz w:val="18"/>
                <w:szCs w:val="18"/>
                <w:lang w:eastAsia="zh-CN"/>
              </w:rPr>
            </w:pPr>
          </w:p>
        </w:tc>
      </w:tr>
      <w:tr w:rsidR="005B4AF9" w:rsidRPr="005B4AF9" w:rsidTr="002227CB">
        <w:trPr>
          <w:trHeight w:val="288"/>
        </w:trPr>
        <w:tc>
          <w:tcPr>
            <w:tcW w:w="2000" w:type="dxa"/>
            <w:shd w:val="clear" w:color="auto" w:fill="auto"/>
            <w:noWrap/>
            <w:vAlign w:val="center"/>
            <w:hideMark/>
          </w:tcPr>
          <w:p w:rsidR="005B4AF9" w:rsidRPr="005B4AF9" w:rsidRDefault="005B4AF9" w:rsidP="005B4AF9">
            <w:pPr>
              <w:suppressAutoHyphens/>
              <w:spacing w:after="0"/>
              <w:jc w:val="left"/>
              <w:rPr>
                <w:rFonts w:ascii="Calibri" w:hAnsi="Calibri" w:cs="Calibri"/>
                <w:color w:val="000000"/>
                <w:sz w:val="18"/>
                <w:szCs w:val="18"/>
                <w:lang w:eastAsia="zh-CN"/>
              </w:rPr>
            </w:pPr>
            <w:r w:rsidRPr="005B4AF9">
              <w:rPr>
                <w:rFonts w:ascii="Calibri" w:hAnsi="Calibri" w:cs="Calibri"/>
                <w:color w:val="000000"/>
                <w:sz w:val="18"/>
                <w:szCs w:val="18"/>
                <w:lang w:eastAsia="zh-CN"/>
              </w:rPr>
              <w:t>PS702 8406 71Y</w:t>
            </w:r>
          </w:p>
        </w:tc>
        <w:tc>
          <w:tcPr>
            <w:tcW w:w="1417" w:type="dxa"/>
            <w:shd w:val="clear" w:color="auto" w:fill="auto"/>
            <w:noWrap/>
            <w:vAlign w:val="center"/>
            <w:hideMark/>
          </w:tcPr>
          <w:p w:rsidR="005B4AF9" w:rsidRPr="005B4AF9" w:rsidRDefault="005B4AF9" w:rsidP="005B4AF9">
            <w:pPr>
              <w:suppressAutoHyphens/>
              <w:spacing w:after="0"/>
              <w:jc w:val="center"/>
              <w:rPr>
                <w:rFonts w:ascii="Calibri" w:hAnsi="Calibri" w:cs="Calibri"/>
                <w:color w:val="000000"/>
                <w:sz w:val="18"/>
                <w:szCs w:val="18"/>
                <w:lang w:eastAsia="zh-CN"/>
              </w:rPr>
            </w:pPr>
            <w:r w:rsidRPr="005B4AF9">
              <w:rPr>
                <w:rFonts w:ascii="Calibri" w:hAnsi="Calibri" w:cs="Calibri"/>
                <w:color w:val="000000"/>
                <w:sz w:val="18"/>
                <w:szCs w:val="18"/>
                <w:lang w:eastAsia="zh-CN"/>
              </w:rPr>
              <w:t>8406/71Y</w:t>
            </w:r>
          </w:p>
        </w:tc>
        <w:tc>
          <w:tcPr>
            <w:tcW w:w="1378" w:type="dxa"/>
            <w:shd w:val="clear" w:color="auto" w:fill="auto"/>
            <w:noWrap/>
            <w:vAlign w:val="center"/>
            <w:hideMark/>
          </w:tcPr>
          <w:p w:rsidR="005B4AF9" w:rsidRPr="005B4AF9" w:rsidRDefault="005B4AF9" w:rsidP="005B4AF9">
            <w:pPr>
              <w:suppressAutoHyphens/>
              <w:spacing w:after="0"/>
              <w:jc w:val="center"/>
              <w:rPr>
                <w:rFonts w:ascii="Calibri" w:hAnsi="Calibri" w:cs="Calibri"/>
                <w:sz w:val="18"/>
                <w:szCs w:val="18"/>
                <w:lang w:eastAsia="zh-CN"/>
              </w:rPr>
            </w:pPr>
            <w:r w:rsidRPr="005B4AF9">
              <w:rPr>
                <w:rFonts w:ascii="Calibri" w:hAnsi="Calibri" w:cs="Calibri"/>
                <w:sz w:val="18"/>
                <w:szCs w:val="18"/>
                <w:lang w:eastAsia="zh-CN"/>
              </w:rPr>
              <w:t>060913B</w:t>
            </w:r>
          </w:p>
        </w:tc>
        <w:tc>
          <w:tcPr>
            <w:tcW w:w="1457" w:type="dxa"/>
            <w:shd w:val="clear" w:color="auto" w:fill="auto"/>
            <w:noWrap/>
            <w:vAlign w:val="center"/>
            <w:hideMark/>
          </w:tcPr>
          <w:p w:rsidR="005B4AF9" w:rsidRPr="005B4AF9" w:rsidRDefault="005B4AF9" w:rsidP="005B4AF9">
            <w:pPr>
              <w:suppressAutoHyphens/>
              <w:spacing w:after="0"/>
              <w:jc w:val="center"/>
              <w:rPr>
                <w:rFonts w:ascii="Calibri" w:hAnsi="Calibri" w:cs="Calibri"/>
                <w:color w:val="000000"/>
                <w:sz w:val="18"/>
                <w:szCs w:val="18"/>
                <w:lang w:eastAsia="zh-CN"/>
              </w:rPr>
            </w:pPr>
            <w:r w:rsidRPr="005B4AF9">
              <w:rPr>
                <w:rFonts w:ascii="Calibri" w:hAnsi="Calibri" w:cs="Calibri"/>
                <w:color w:val="000000"/>
                <w:sz w:val="18"/>
                <w:szCs w:val="18"/>
                <w:lang w:eastAsia="zh-CN"/>
              </w:rPr>
              <w:t>podpisem sml.</w:t>
            </w:r>
          </w:p>
        </w:tc>
        <w:tc>
          <w:tcPr>
            <w:tcW w:w="1701" w:type="dxa"/>
            <w:shd w:val="clear" w:color="auto" w:fill="auto"/>
            <w:vAlign w:val="center"/>
            <w:hideMark/>
          </w:tcPr>
          <w:p w:rsidR="005B4AF9" w:rsidRPr="005B4AF9" w:rsidRDefault="005B4AF9" w:rsidP="005B4AF9">
            <w:pPr>
              <w:suppressAutoHyphens/>
              <w:spacing w:after="0"/>
              <w:jc w:val="center"/>
              <w:rPr>
                <w:rFonts w:ascii="Calibri" w:hAnsi="Calibri" w:cs="Calibri"/>
                <w:sz w:val="18"/>
                <w:szCs w:val="18"/>
                <w:lang w:eastAsia="zh-CN"/>
              </w:rPr>
            </w:pPr>
            <w:r w:rsidRPr="005B4AF9">
              <w:rPr>
                <w:rFonts w:ascii="Calibri" w:hAnsi="Calibri" w:cs="Calibri"/>
                <w:sz w:val="18"/>
                <w:szCs w:val="18"/>
                <w:lang w:eastAsia="zh-CN"/>
              </w:rPr>
              <w:t>15.2.2016</w:t>
            </w:r>
          </w:p>
        </w:tc>
        <w:tc>
          <w:tcPr>
            <w:tcW w:w="1418" w:type="dxa"/>
            <w:vAlign w:val="center"/>
          </w:tcPr>
          <w:p w:rsidR="005B4AF9" w:rsidRPr="005B4AF9" w:rsidRDefault="005B4AF9" w:rsidP="005B4AF9">
            <w:pPr>
              <w:suppressAutoHyphens/>
              <w:spacing w:after="0"/>
              <w:jc w:val="right"/>
              <w:rPr>
                <w:rFonts w:ascii="Calibri" w:hAnsi="Calibri" w:cs="Calibri"/>
                <w:sz w:val="18"/>
                <w:szCs w:val="18"/>
                <w:lang w:eastAsia="zh-CN"/>
              </w:rPr>
            </w:pPr>
          </w:p>
        </w:tc>
      </w:tr>
      <w:tr w:rsidR="005B4AF9" w:rsidRPr="005B4AF9" w:rsidTr="002227CB">
        <w:trPr>
          <w:trHeight w:val="288"/>
        </w:trPr>
        <w:tc>
          <w:tcPr>
            <w:tcW w:w="7953" w:type="dxa"/>
            <w:gridSpan w:val="5"/>
            <w:shd w:val="clear" w:color="auto" w:fill="auto"/>
            <w:noWrap/>
            <w:vAlign w:val="center"/>
          </w:tcPr>
          <w:p w:rsidR="005B4AF9" w:rsidRPr="005B4AF9" w:rsidRDefault="005B4AF9" w:rsidP="005B4AF9">
            <w:pPr>
              <w:suppressAutoHyphens/>
              <w:spacing w:after="0"/>
              <w:jc w:val="left"/>
              <w:rPr>
                <w:rFonts w:ascii="Calibri" w:hAnsi="Calibri" w:cs="Calibri"/>
                <w:sz w:val="18"/>
                <w:szCs w:val="18"/>
                <w:lang w:eastAsia="zh-CN"/>
              </w:rPr>
            </w:pPr>
            <w:r w:rsidRPr="005B4AF9">
              <w:rPr>
                <w:rFonts w:ascii="Calibri" w:hAnsi="Calibri" w:cs="Calibri"/>
                <w:sz w:val="18"/>
                <w:szCs w:val="18"/>
                <w:lang w:eastAsia="zh-CN"/>
              </w:rPr>
              <w:t>Dílčí celkové ceny za Tabulku č. 2</w:t>
            </w:r>
          </w:p>
        </w:tc>
        <w:tc>
          <w:tcPr>
            <w:tcW w:w="1418" w:type="dxa"/>
            <w:vAlign w:val="center"/>
          </w:tcPr>
          <w:p w:rsidR="005B4AF9" w:rsidRPr="005B4AF9" w:rsidRDefault="005B4AF9" w:rsidP="005B4AF9">
            <w:pPr>
              <w:suppressAutoHyphens/>
              <w:spacing w:after="0"/>
              <w:jc w:val="right"/>
              <w:rPr>
                <w:rFonts w:ascii="Calibri" w:hAnsi="Calibri" w:cs="Calibri"/>
                <w:sz w:val="18"/>
                <w:szCs w:val="18"/>
                <w:lang w:eastAsia="zh-CN"/>
              </w:rPr>
            </w:pPr>
          </w:p>
        </w:tc>
      </w:tr>
    </w:tbl>
    <w:p w:rsidR="005B4AF9" w:rsidRPr="005B4AF9" w:rsidRDefault="005B4AF9" w:rsidP="005B4AF9">
      <w:pPr>
        <w:suppressAutoHyphens/>
        <w:spacing w:before="120" w:after="0"/>
        <w:rPr>
          <w:rFonts w:cs="Arial"/>
          <w:szCs w:val="20"/>
          <w:lang w:eastAsia="zh-CN"/>
        </w:rPr>
      </w:pPr>
    </w:p>
    <w:tbl>
      <w:tblPr>
        <w:tblW w:w="93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953"/>
        <w:gridCol w:w="1418"/>
      </w:tblGrid>
      <w:tr w:rsidR="005B4AF9" w:rsidRPr="005B4AF9" w:rsidTr="002227CB">
        <w:trPr>
          <w:trHeight w:val="288"/>
        </w:trPr>
        <w:tc>
          <w:tcPr>
            <w:tcW w:w="7953" w:type="dxa"/>
            <w:shd w:val="clear" w:color="auto" w:fill="auto"/>
            <w:noWrap/>
            <w:vAlign w:val="center"/>
          </w:tcPr>
          <w:p w:rsidR="005B4AF9" w:rsidRPr="005B4AF9" w:rsidRDefault="005B4AF9" w:rsidP="005B4AF9">
            <w:pPr>
              <w:suppressAutoHyphens/>
              <w:spacing w:after="0"/>
              <w:jc w:val="left"/>
              <w:rPr>
                <w:rFonts w:ascii="Calibri" w:hAnsi="Calibri" w:cs="Calibri"/>
                <w:sz w:val="18"/>
                <w:szCs w:val="18"/>
                <w:lang w:eastAsia="zh-CN"/>
              </w:rPr>
            </w:pPr>
            <w:r w:rsidRPr="005B4AF9">
              <w:rPr>
                <w:rFonts w:ascii="Calibri" w:hAnsi="Calibri" w:cs="Calibri"/>
                <w:sz w:val="18"/>
                <w:szCs w:val="18"/>
                <w:lang w:eastAsia="zh-CN"/>
              </w:rPr>
              <w:t>Nabídková cena (součet Dílčí celkové ceny za Tabulku č. 1 a Dílčí celková cena za Tabulku č. 2)</w:t>
            </w:r>
          </w:p>
        </w:tc>
        <w:tc>
          <w:tcPr>
            <w:tcW w:w="1418" w:type="dxa"/>
            <w:vAlign w:val="center"/>
          </w:tcPr>
          <w:p w:rsidR="005B4AF9" w:rsidRPr="005B4AF9" w:rsidRDefault="005B4AF9" w:rsidP="005B4AF9">
            <w:pPr>
              <w:suppressAutoHyphens/>
              <w:spacing w:after="0"/>
              <w:jc w:val="right"/>
              <w:rPr>
                <w:rFonts w:ascii="Calibri" w:hAnsi="Calibri" w:cs="Calibri"/>
                <w:sz w:val="18"/>
                <w:szCs w:val="18"/>
                <w:lang w:eastAsia="zh-CN"/>
              </w:rPr>
            </w:pPr>
          </w:p>
        </w:tc>
      </w:tr>
    </w:tbl>
    <w:p w:rsidR="007F3B24" w:rsidRDefault="007F3B24" w:rsidP="007F3B24">
      <w:pPr>
        <w:pStyle w:val="Odstavec2"/>
      </w:pPr>
      <w:r>
        <w:t xml:space="preserve">K cenám stanoveným v bodu </w:t>
      </w:r>
      <w:r w:rsidR="001C35CF">
        <w:t>3.1</w:t>
      </w:r>
      <w:r>
        <w:t xml:space="preserve"> tohoto článku bude připočtena daň z přidané hodnoty (dále a výše též jen „DPH“) ve výši dle platných právních předpisů ke dni uskutečnění zdanitelného plnění.</w:t>
      </w:r>
    </w:p>
    <w:p w:rsidR="007F3B24" w:rsidRDefault="007F3B24" w:rsidP="007F3B24">
      <w:pPr>
        <w:pStyle w:val="Odstavec2"/>
      </w:pPr>
      <w:r>
        <w:lastRenderedPageBreak/>
        <w:t xml:space="preserve">Ceny uvedené v bodu </w:t>
      </w:r>
      <w:r w:rsidR="001C35CF">
        <w:t>3.1</w:t>
      </w:r>
      <w:r>
        <w:t xml:space="preserve"> výše obsahují všechny náklady poskytovatele spojené s plněním této smlouvy po celou dobu trvání této smlouvy,</w:t>
      </w:r>
      <w:r w:rsidR="006B2283" w:rsidRPr="006B2283">
        <w:t xml:space="preserve"> </w:t>
      </w:r>
      <w:r w:rsidR="006B2283">
        <w:t xml:space="preserve">zejména </w:t>
      </w:r>
      <w:r w:rsidR="006B2283" w:rsidRPr="005E7C76">
        <w:rPr>
          <w:rFonts w:cs="Arial"/>
        </w:rPr>
        <w:t>cestovních nákladů, nákladů na ubytování, náklady na přepravu, daně a poplatky, včetně správních poplatků apod</w:t>
      </w:r>
      <w:r w:rsidR="006B2283">
        <w:rPr>
          <w:rFonts w:cs="Arial"/>
        </w:rPr>
        <w:t>.,</w:t>
      </w:r>
      <w:r>
        <w:t xml:space="preserve"> jsou pro poskytovatele závazné, nejvýše přípustné, neměnné a nepřekročitelné.</w:t>
      </w:r>
    </w:p>
    <w:p w:rsidR="008F5A9D" w:rsidRDefault="008F5A9D" w:rsidP="00A429B0">
      <w:pPr>
        <w:pStyle w:val="lnek"/>
        <w:keepNext/>
        <w:ind w:left="17"/>
      </w:pPr>
      <w:r>
        <w:t>Platební podmínky</w:t>
      </w:r>
    </w:p>
    <w:p w:rsidR="008F5A9D" w:rsidRDefault="007F3B24" w:rsidP="006929E9">
      <w:pPr>
        <w:pStyle w:val="Odstavec2"/>
      </w:pPr>
      <w:r w:rsidRPr="00BE7109">
        <w:rPr>
          <w:rFonts w:cs="Arial"/>
        </w:rPr>
        <w:t xml:space="preserve">Cena za předmět plnění uvedená v bodu </w:t>
      </w:r>
      <w:r w:rsidR="001C35CF">
        <w:rPr>
          <w:rFonts w:cs="Arial"/>
        </w:rPr>
        <w:t>3.1</w:t>
      </w:r>
      <w:r w:rsidRPr="00210C88">
        <w:rPr>
          <w:rFonts w:cs="Arial"/>
        </w:rPr>
        <w:t xml:space="preserve"> této smlouvy bude objednatelem uhrazena poskytovateli v souladu s podmínkami uvedenými zejména v tomto článku smlouvy níže formou předplatného</w:t>
      </w:r>
      <w:r w:rsidR="008F5A9D">
        <w:t xml:space="preserve">. </w:t>
      </w:r>
    </w:p>
    <w:p w:rsidR="007F3B24" w:rsidRPr="00BE7109" w:rsidRDefault="007F3B24" w:rsidP="007F3B24">
      <w:pPr>
        <w:pStyle w:val="Odstavec2"/>
      </w:pPr>
      <w:r w:rsidRPr="00BE7109">
        <w:t xml:space="preserve">Platba za předmět plnění této smlouvy bude provedena bezhotovostním převodem na účet poskytovatele, uvedený v této smlouvě na základě faktury (daňového dokladu) vystavené poskytovatelem. </w:t>
      </w:r>
    </w:p>
    <w:p w:rsidR="007F3B24" w:rsidRPr="00C07709" w:rsidRDefault="007F3B24" w:rsidP="007F3B24">
      <w:pPr>
        <w:pStyle w:val="Odstavec2"/>
      </w:pPr>
      <w:r w:rsidRPr="00C07709">
        <w:t>Poskytovatel je povinen vystavit fakturu (daňový doklad) a doručit ji na fakturační adresu objednatele do 5 dnů po podpisu smlouvy</w:t>
      </w:r>
      <w:r>
        <w:t xml:space="preserve"> oběma smluvními stranami</w:t>
      </w:r>
      <w:r w:rsidRPr="00C07709">
        <w:t>.</w:t>
      </w:r>
    </w:p>
    <w:p w:rsidR="008F5A9D" w:rsidRDefault="008F5A9D" w:rsidP="006929E9">
      <w:pPr>
        <w:pStyle w:val="Odstavec2"/>
      </w:pPr>
      <w:r>
        <w:t xml:space="preserve">Každá faktura dle této smlouvy bude mít splatnost </w:t>
      </w:r>
      <w:r w:rsidR="00633D18">
        <w:t>30</w:t>
      </w:r>
      <w:r>
        <w:t xml:space="preserve"> dní ode dne prokazatelného doručení faktury (daňového dokladu) objednateli na fakturační adresu objednatele. </w:t>
      </w:r>
      <w:r w:rsidR="00470920">
        <w:t>Každá f</w:t>
      </w:r>
      <w:r>
        <w:t>aktura</w:t>
      </w:r>
      <w:r w:rsidR="006B2283">
        <w:t xml:space="preserve"> (daňový doklad)</w:t>
      </w:r>
      <w:r>
        <w:t xml:space="preserve"> </w:t>
      </w:r>
      <w:r w:rsidR="00470920">
        <w:t xml:space="preserve">vystavená poskytovatelem </w:t>
      </w:r>
      <w:r>
        <w:t xml:space="preserve">bude obsahovat náležitosti daňového a účetního dokladu dle platné legislativy, </w:t>
      </w:r>
      <w:r w:rsidRPr="001B3874">
        <w:rPr>
          <w:u w:val="single"/>
        </w:rPr>
        <w:t>číslo objednávky</w:t>
      </w:r>
      <w:r w:rsidR="0026112B" w:rsidRPr="001B3874">
        <w:rPr>
          <w:u w:val="single"/>
        </w:rPr>
        <w:t xml:space="preserve"> </w:t>
      </w:r>
      <w:r w:rsidR="0026112B" w:rsidRPr="001B3874">
        <w:rPr>
          <w:highlight w:val="yellow"/>
          <w:u w:val="single"/>
        </w:rPr>
        <w:fldChar w:fldCharType="begin">
          <w:ffData>
            <w:name w:val="Text23"/>
            <w:enabled/>
            <w:calcOnExit w:val="0"/>
            <w:textInput/>
          </w:ffData>
        </w:fldChar>
      </w:r>
      <w:bookmarkStart w:id="16" w:name="Text23"/>
      <w:r w:rsidR="0026112B" w:rsidRPr="001B3874">
        <w:rPr>
          <w:highlight w:val="yellow"/>
          <w:u w:val="single"/>
        </w:rPr>
        <w:instrText xml:space="preserve"> FORMTEXT </w:instrText>
      </w:r>
      <w:r w:rsidR="0026112B" w:rsidRPr="001B3874">
        <w:rPr>
          <w:highlight w:val="yellow"/>
          <w:u w:val="single"/>
        </w:rPr>
      </w:r>
      <w:r w:rsidR="0026112B" w:rsidRPr="001B3874">
        <w:rPr>
          <w:highlight w:val="yellow"/>
          <w:u w:val="single"/>
        </w:rPr>
        <w:fldChar w:fldCharType="separate"/>
      </w:r>
      <w:r w:rsidR="0026112B" w:rsidRPr="001B3874">
        <w:rPr>
          <w:noProof/>
          <w:highlight w:val="yellow"/>
          <w:u w:val="single"/>
        </w:rPr>
        <w:t> </w:t>
      </w:r>
      <w:r w:rsidR="0026112B" w:rsidRPr="001B3874">
        <w:rPr>
          <w:noProof/>
          <w:highlight w:val="yellow"/>
          <w:u w:val="single"/>
        </w:rPr>
        <w:t> </w:t>
      </w:r>
      <w:r w:rsidR="0026112B" w:rsidRPr="001B3874">
        <w:rPr>
          <w:noProof/>
          <w:highlight w:val="yellow"/>
          <w:u w:val="single"/>
        </w:rPr>
        <w:t> </w:t>
      </w:r>
      <w:r w:rsidR="0026112B" w:rsidRPr="001B3874">
        <w:rPr>
          <w:noProof/>
          <w:highlight w:val="yellow"/>
          <w:u w:val="single"/>
        </w:rPr>
        <w:t> </w:t>
      </w:r>
      <w:r w:rsidR="0026112B" w:rsidRPr="001B3874">
        <w:rPr>
          <w:noProof/>
          <w:highlight w:val="yellow"/>
          <w:u w:val="single"/>
        </w:rPr>
        <w:t> </w:t>
      </w:r>
      <w:r w:rsidR="0026112B" w:rsidRPr="001B3874">
        <w:rPr>
          <w:highlight w:val="yellow"/>
          <w:u w:val="single"/>
        </w:rPr>
        <w:fldChar w:fldCharType="end"/>
      </w:r>
      <w:bookmarkEnd w:id="16"/>
      <w:r w:rsidR="0026112B">
        <w:t xml:space="preserve"> </w:t>
      </w:r>
      <w:r w:rsidRPr="0026112B">
        <w:rPr>
          <w:i/>
          <w:highlight w:val="yellow"/>
        </w:rPr>
        <w:t>(doplní objednatel)</w:t>
      </w:r>
      <w:r>
        <w:t xml:space="preserve">, ke které se bude vztahovat, a další náležitosti dle této smlouvy, zejména objednatelem požadované přílohy. </w:t>
      </w:r>
    </w:p>
    <w:p w:rsidR="006B2283" w:rsidRPr="003A175E" w:rsidRDefault="00633D18" w:rsidP="005B4AF9">
      <w:pPr>
        <w:pStyle w:val="Odstavec2"/>
        <w:numPr>
          <w:ilvl w:val="1"/>
          <w:numId w:val="4"/>
        </w:numPr>
        <w:tabs>
          <w:tab w:val="clear" w:pos="567"/>
          <w:tab w:val="clear" w:pos="1364"/>
          <w:tab w:val="left" w:pos="851"/>
          <w:tab w:val="num" w:pos="1080"/>
        </w:tabs>
      </w:pPr>
      <w:r>
        <w:t>Závazek úhrady faktury</w:t>
      </w:r>
      <w:r w:rsidR="006B2283">
        <w:t xml:space="preserve"> (daňového dokladu)</w:t>
      </w:r>
      <w:r>
        <w:t xml:space="preserve"> objednatelem se považuje za splněný dnem odepsání fakturované částky z účtu objednatele ve prospěch účtu poskytovatele uvedeného shodně v záhlaví této smlouvy a na faktuře poskytovatelem vystavené.</w:t>
      </w:r>
      <w:r w:rsidR="006B2283">
        <w:t xml:space="preserve"> Připadne-li poslední den doby splatnosti na sobotu, neděli, jiný den pracovní klidu nebo státní či ostatní svátek, končí doba platnosti první následující pracovní den.           </w:t>
      </w:r>
    </w:p>
    <w:p w:rsidR="00633D18" w:rsidRDefault="00633D18" w:rsidP="00633D18">
      <w:pPr>
        <w:pStyle w:val="Odstavec2"/>
      </w:pPr>
      <w:r>
        <w:t>Veškeré platby dle této smlouvy budou prováděny bezhotovostně na účet poskytovatele používaný pro jeho ekonomickou činnost uvedený v této smlouvě, přičemž poskytovatel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w:t>
      </w:r>
      <w:r w:rsidR="006B2283">
        <w:t xml:space="preserve"> (dále jen „zákon o DPH“)</w:t>
      </w:r>
      <w:r>
        <w:t xml:space="preserve">, tj. zejména bude číslo bankovního účtu poskytovatele uvedeného ve smlouvě zveřejněno způsobem umožňujícím dálkový přístup. V případě, že se vyskytnou důvodné pochybnosti objednatele o dodržování pravidel na úseku daňových předpisů poskytovatelem (zejména v případě, že poskytovatel bude označen za nespolehlivého plátce; v případě, že bankovní účet poskytovatele uvedený v této smlouvě nebude odpovídat údajům zveřejněným způsobem umožňujícím dálkový přístup dle zákona o DPH, atp.), je objednatel oprávněn pozastavit platbu poskytovateli do doby učinění nápravy, přičemž pozastavení platby poskytovateli oznámí a objednatel v pozici ručitele za odvedení daně z přidané hodnoty bude postupovat způsobem uvedeným v této smlouvě níže. V případě pozastavení platby objednatelem poskytovateli z výše uvedených důvodů není objednatel v prodlení s platbou a poskytovatel nemá nárok uplatňovat vůči objednateli jakékoli sankce z důvodu neprovedení platby objednatelem, ani nárok na náhradu </w:t>
      </w:r>
      <w:r w:rsidR="006B2283">
        <w:t>újmy</w:t>
      </w:r>
      <w:r>
        <w:t>.</w:t>
      </w:r>
    </w:p>
    <w:p w:rsidR="00633D18" w:rsidRDefault="00633D18" w:rsidP="00633D18">
      <w:pPr>
        <w:pStyle w:val="Odstavec2"/>
      </w:pPr>
      <w:r>
        <w:t>Nebude-li faktura poskytovatelem předložená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w:t>
      </w:r>
      <w:r w:rsidR="00DF7661">
        <w:t xml:space="preserve"> (daňového dokladu)</w:t>
      </w:r>
      <w:r>
        <w:t xml:space="preserve"> způsobem, kdy se objednatel stane či může stát ručitelem za odvod daně z přidané hodnoty poskytovatelem, vyzve objednatel poskytovatele k opravě či k předložení nové bezvadné faktury. Poskytovatel je povinen fakturu</w:t>
      </w:r>
      <w:r w:rsidR="00DF7661">
        <w:t xml:space="preserve"> (daňový doklad)</w:t>
      </w:r>
      <w:r>
        <w:t xml:space="preserve"> přepracovat, včetně změny </w:t>
      </w:r>
      <w:r w:rsidR="00DF7661">
        <w:t xml:space="preserve">doby </w:t>
      </w:r>
      <w:r>
        <w:t>splatnosti, a doručit ji objednateli. V tomto případě od učinění výzvy objednatele k předložení bezvadné faktury</w:t>
      </w:r>
      <w:r w:rsidR="00DF7661">
        <w:t xml:space="preserve"> (daňového dokladu) poskytovatelem</w:t>
      </w:r>
      <w:r>
        <w:t xml:space="preserve"> objednateli dle první věty tohoto odstavce do doby doručení bezvadné faktury</w:t>
      </w:r>
      <w:r w:rsidR="00DF7661">
        <w:t xml:space="preserve"> (daňového dokladu)</w:t>
      </w:r>
      <w:r>
        <w:t xml:space="preserve"> poskytovatelem objednateli na fakturační adresu objednatele nemá poskytovatel nárok na zaplacení fakturované částky, úrok z prodlení ani jakoukoliv jinou sankci a objednatel není v prodlení se zaplacením fakturované částky. </w:t>
      </w:r>
      <w:r w:rsidR="006B2283">
        <w:t xml:space="preserve">Doba </w:t>
      </w:r>
      <w:r>
        <w:t xml:space="preserve">splatnosti v délce </w:t>
      </w:r>
      <w:r w:rsidR="00A429B0">
        <w:t>3</w:t>
      </w:r>
      <w:r>
        <w:t>0 dnů počíná běžet znovu až ode dne doručení bezvadné faktury</w:t>
      </w:r>
      <w:r w:rsidR="00DF7661">
        <w:t xml:space="preserve"> (daňového dokladu)</w:t>
      </w:r>
      <w:r>
        <w:t xml:space="preserve"> objednateli na fakturační adresu objednatele.</w:t>
      </w:r>
    </w:p>
    <w:p w:rsidR="00633D18" w:rsidRDefault="00633D18" w:rsidP="00633D18">
      <w:pPr>
        <w:pStyle w:val="Odstavec2"/>
      </w:pPr>
      <w:r>
        <w:lastRenderedPageBreak/>
        <w:t>Poskytovatel vystaví fakturu</w:t>
      </w:r>
      <w:r w:rsidR="00DF7661">
        <w:t xml:space="preserve"> (daňový doklad)</w:t>
      </w:r>
      <w:r>
        <w:t xml:space="preserve"> dle této smlouvy v písemné podobě. </w:t>
      </w:r>
    </w:p>
    <w:p w:rsidR="00633D18" w:rsidRDefault="00633D18" w:rsidP="00633D18">
      <w:pPr>
        <w:pStyle w:val="Odstavec2"/>
      </w:pPr>
      <w:r>
        <w:t xml:space="preserve">Poskytovatel splní svou povinnost vystavit a doručit </w:t>
      </w:r>
      <w:r w:rsidR="00DF7661">
        <w:t>fakturu (</w:t>
      </w:r>
      <w:r>
        <w:t>daňový doklad</w:t>
      </w:r>
      <w:r w:rsidR="00DF7661">
        <w:t>)</w:t>
      </w:r>
      <w:r>
        <w:t xml:space="preserve"> objednateli v listinné podobě doručením objednateli na objednatelem písemně stanovenou fakturační adresu, přičemž v době uzavření této smlouvy stanovil objednatel tuto fakturační adresu: ČEPRO, a.s., FÚ, Odbor Účtárny, Hněvice 62, 411 08 Štětí.</w:t>
      </w:r>
    </w:p>
    <w:p w:rsidR="00633D18" w:rsidRDefault="00633D18" w:rsidP="00633D18">
      <w:pPr>
        <w:pStyle w:val="Odstavec2"/>
      </w:pPr>
      <w:r>
        <w:t>Smluvní strany se dohodly, že oznámení nebo změny adres v tomto ujednání provedou písemným oznámením podepsaným osobami oprávněnými k uzavření nebo změnám této smlouvy doručeným druhé smluvní straně na adresu uvedenou v záhlaví této smlouvy s dostatečným předstihem.</w:t>
      </w:r>
    </w:p>
    <w:p w:rsidR="00DF7661" w:rsidRPr="008442B9" w:rsidRDefault="005B4AF9" w:rsidP="005B4AF9">
      <w:pPr>
        <w:pStyle w:val="Odstavec2"/>
      </w:pPr>
      <w:r w:rsidRPr="005B4AF9">
        <w:t>V případě, že poskytovatel bude mít zájem vystavit a doručit objednateli fakturu v elektronické verzi, bude mezi stranami uzavřena samostatná dohoda o elektronické fakturaci, kde smluvní strany ujednají bližší náležitosti veškerých tím dotčených dokumentů.</w:t>
      </w:r>
      <w:r w:rsidR="00DF7661" w:rsidRPr="008442B9">
        <w:t xml:space="preserve"> </w:t>
      </w:r>
    </w:p>
    <w:p w:rsidR="00633D18" w:rsidRDefault="00633D18" w:rsidP="00633D18">
      <w:pPr>
        <w:pStyle w:val="Odstavec2"/>
      </w:pPr>
      <w:r>
        <w:t>Smluvní strany sjednávají, že v případech, kdy objednatel je, nebo může být ručitelem za odvedení daně z přidané hodnoty poskytovatelem z příslušného plnění, nebo pokud se jím objednatel stane nebo může stát v důsledku změny zákonné úpravy, je objednatel oprávněn uhradit na účet poskytovatele uvedený ve smlouvě pouze fakturovanou částku za poskytnuté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poskytovateli jako poskytovateli zdanitelného plnění uhradit v souladu s příslušnými ustanoveními zákona o DPH, (tj. zejména dle ustanovení §§ 109, 109a, event. dalších) přímo na příslušný účet správce daně poskytovatele jako poskytovatele zdanitelného plnění s údaji potřebnými pro identifikaci platby dle příslušných ustanovení zákona o DPH. Úhradou daně z přidané hodnoty na účet správce daně poskytovatele tak bude splněn závazek objednatele vůči poskytovateli zaplatit cenu plnění v částce uhrazené na účet správce daně poskytovatele.</w:t>
      </w:r>
    </w:p>
    <w:p w:rsidR="00633D18" w:rsidRDefault="00633D18" w:rsidP="00633D18">
      <w:pPr>
        <w:pStyle w:val="Odstavec2"/>
      </w:pPr>
      <w:r>
        <w:t>O postupu objednatele dle bodu 4.12 výše bude objednatel písemně bez zbytečného odkladu informovat poskytovatele jako poskytovatele zdanitelného plnění, za nějž byla daň z přidané hodnoty takto odvedena.</w:t>
      </w:r>
    </w:p>
    <w:p w:rsidR="00633D18" w:rsidRDefault="00633D18" w:rsidP="00633D18">
      <w:pPr>
        <w:pStyle w:val="Odstavec2"/>
      </w:pPr>
      <w:r>
        <w:t>Uhrazení závazku učiněné způsobem uvedeným v bodu 4.12 výše je v souladu se zákonem o DPH a není porušením smluvních sankcí za neuhrazení finančních prostředků ani na náhradu škody.</w:t>
      </w:r>
    </w:p>
    <w:p w:rsidR="00633D18" w:rsidRDefault="00633D18" w:rsidP="00633D18">
      <w:pPr>
        <w:pStyle w:val="Odstavec2"/>
      </w:pPr>
      <w:r>
        <w:t xml:space="preserve">V případě prodlení objednatele s platbou uhradí objednatel poskytovateli dlužnou částku a dále úrok z prodlení ve výši stanovené </w:t>
      </w:r>
      <w:r w:rsidR="00DF7661">
        <w:t>nařízením vlády č. 351/2013 Sb</w:t>
      </w:r>
      <w:r>
        <w:t>.</w:t>
      </w:r>
    </w:p>
    <w:p w:rsidR="008F5A9D" w:rsidRPr="006929E9" w:rsidRDefault="00633D18" w:rsidP="00633D18">
      <w:pPr>
        <w:pStyle w:val="Odstavec2"/>
      </w:pPr>
      <w:r>
        <w:t xml:space="preserve">Smluvní strany se dohodly, že objednatel je oprávněn pozastavit úhradu faktury poskytovateli, pokud bude na poskytovatele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w:t>
      </w:r>
      <w:r w:rsidR="00470920">
        <w:t>3</w:t>
      </w:r>
      <w:r>
        <w:t>0 dnů ode dne, kdy obdrží od poskytovatele rozhodnutí o odmítnutí insolvenčního návrhu s vyznačením právní moci. V případě, že bude rozhodnuto o úpadku a/nebo o způsobu řešení úpadku, bude objednatel postupovat v souladu se zákonem č. 182/2006 Sb., insolvenční zákon, v platném znění.</w:t>
      </w:r>
    </w:p>
    <w:p w:rsidR="008F5A9D" w:rsidRDefault="008F5A9D" w:rsidP="006929E9">
      <w:pPr>
        <w:pStyle w:val="lnek"/>
      </w:pPr>
      <w:r>
        <w:t>Další ujednání, sankce</w:t>
      </w:r>
    </w:p>
    <w:p w:rsidR="007F3B24" w:rsidRDefault="007F3B24" w:rsidP="007F3B24">
      <w:pPr>
        <w:pStyle w:val="Odstavec2"/>
      </w:pPr>
      <w:r>
        <w:t>Kontaktní osoby na straně objednatele jsou uvedeny v příloze č. 1 této smlouvy. Každá osoba uvedená v příloze č. 1 je oprávněna jednat samostatně. Současně jsou v příloze č. 1 této smlouvy rovněž uvedeny kontaktní osoby poskytovatele.</w:t>
      </w:r>
    </w:p>
    <w:p w:rsidR="007F3B24" w:rsidRPr="007F3B24" w:rsidRDefault="007F3B24" w:rsidP="007F3B24">
      <w:pPr>
        <w:pStyle w:val="Odstavec2"/>
      </w:pPr>
      <w:r w:rsidRPr="007F3B24">
        <w:rPr>
          <w:rStyle w:val="Siln"/>
          <w:b w:val="0"/>
        </w:rPr>
        <w:t>Komunikačním kanálem, který slouží pro nahlašování požadavků objednatele, se pro účely této smlouvy rozumí</w:t>
      </w:r>
      <w:r w:rsidR="00DF7661">
        <w:rPr>
          <w:rStyle w:val="Siln"/>
          <w:b w:val="0"/>
        </w:rPr>
        <w:t xml:space="preserve"> tel: </w:t>
      </w:r>
      <w:r w:rsidR="00E456FF" w:rsidRPr="00E456FF">
        <w:rPr>
          <w:rStyle w:val="Siln"/>
          <w:b w:val="0"/>
          <w:highlight w:val="yellow"/>
        </w:rPr>
        <w:fldChar w:fldCharType="begin">
          <w:ffData>
            <w:name w:val="Text35"/>
            <w:enabled/>
            <w:calcOnExit w:val="0"/>
            <w:textInput/>
          </w:ffData>
        </w:fldChar>
      </w:r>
      <w:bookmarkStart w:id="17" w:name="Text35"/>
      <w:r w:rsidR="00E456FF" w:rsidRPr="00E456FF">
        <w:rPr>
          <w:rStyle w:val="Siln"/>
          <w:b w:val="0"/>
          <w:highlight w:val="yellow"/>
        </w:rPr>
        <w:instrText xml:space="preserve"> FORMTEXT </w:instrText>
      </w:r>
      <w:r w:rsidR="00E456FF" w:rsidRPr="00E456FF">
        <w:rPr>
          <w:rStyle w:val="Siln"/>
          <w:b w:val="0"/>
          <w:highlight w:val="yellow"/>
        </w:rPr>
      </w:r>
      <w:r w:rsidR="00E456FF" w:rsidRPr="00E456FF">
        <w:rPr>
          <w:rStyle w:val="Siln"/>
          <w:b w:val="0"/>
          <w:highlight w:val="yellow"/>
        </w:rPr>
        <w:fldChar w:fldCharType="separate"/>
      </w:r>
      <w:r w:rsidR="00E456FF" w:rsidRPr="00E456FF">
        <w:rPr>
          <w:rStyle w:val="Siln"/>
          <w:b w:val="0"/>
          <w:noProof/>
          <w:highlight w:val="yellow"/>
        </w:rPr>
        <w:t> </w:t>
      </w:r>
      <w:r w:rsidR="00E456FF" w:rsidRPr="00E456FF">
        <w:rPr>
          <w:rStyle w:val="Siln"/>
          <w:b w:val="0"/>
          <w:noProof/>
          <w:highlight w:val="yellow"/>
        </w:rPr>
        <w:t> </w:t>
      </w:r>
      <w:r w:rsidR="00E456FF" w:rsidRPr="00E456FF">
        <w:rPr>
          <w:rStyle w:val="Siln"/>
          <w:b w:val="0"/>
          <w:noProof/>
          <w:highlight w:val="yellow"/>
        </w:rPr>
        <w:t> </w:t>
      </w:r>
      <w:r w:rsidR="00E456FF" w:rsidRPr="00E456FF">
        <w:rPr>
          <w:rStyle w:val="Siln"/>
          <w:b w:val="0"/>
          <w:noProof/>
          <w:highlight w:val="yellow"/>
        </w:rPr>
        <w:t> </w:t>
      </w:r>
      <w:r w:rsidR="00E456FF" w:rsidRPr="00E456FF">
        <w:rPr>
          <w:rStyle w:val="Siln"/>
          <w:b w:val="0"/>
          <w:noProof/>
          <w:highlight w:val="yellow"/>
        </w:rPr>
        <w:t> </w:t>
      </w:r>
      <w:r w:rsidR="00E456FF" w:rsidRPr="00E456FF">
        <w:rPr>
          <w:rStyle w:val="Siln"/>
          <w:b w:val="0"/>
          <w:highlight w:val="yellow"/>
        </w:rPr>
        <w:fldChar w:fldCharType="end"/>
      </w:r>
      <w:bookmarkEnd w:id="17"/>
      <w:r w:rsidR="00E456FF">
        <w:rPr>
          <w:rStyle w:val="Siln"/>
          <w:b w:val="0"/>
        </w:rPr>
        <w:t xml:space="preserve"> a </w:t>
      </w:r>
      <w:r w:rsidR="00DF7661">
        <w:rPr>
          <w:rStyle w:val="Siln"/>
          <w:b w:val="0"/>
        </w:rPr>
        <w:t xml:space="preserve">email: </w:t>
      </w:r>
      <w:r w:rsidR="00E456FF" w:rsidRPr="00E456FF">
        <w:rPr>
          <w:rStyle w:val="Siln"/>
          <w:b w:val="0"/>
          <w:highlight w:val="yellow"/>
        </w:rPr>
        <w:fldChar w:fldCharType="begin">
          <w:ffData>
            <w:name w:val="Text36"/>
            <w:enabled/>
            <w:calcOnExit w:val="0"/>
            <w:textInput/>
          </w:ffData>
        </w:fldChar>
      </w:r>
      <w:bookmarkStart w:id="18" w:name="Text36"/>
      <w:r w:rsidR="00E456FF" w:rsidRPr="00E456FF">
        <w:rPr>
          <w:rStyle w:val="Siln"/>
          <w:b w:val="0"/>
          <w:highlight w:val="yellow"/>
        </w:rPr>
        <w:instrText xml:space="preserve"> FORMTEXT </w:instrText>
      </w:r>
      <w:r w:rsidR="00E456FF" w:rsidRPr="00E456FF">
        <w:rPr>
          <w:rStyle w:val="Siln"/>
          <w:b w:val="0"/>
          <w:highlight w:val="yellow"/>
        </w:rPr>
      </w:r>
      <w:r w:rsidR="00E456FF" w:rsidRPr="00E456FF">
        <w:rPr>
          <w:rStyle w:val="Siln"/>
          <w:b w:val="0"/>
          <w:highlight w:val="yellow"/>
        </w:rPr>
        <w:fldChar w:fldCharType="separate"/>
      </w:r>
      <w:r w:rsidR="00E456FF" w:rsidRPr="00E456FF">
        <w:rPr>
          <w:rStyle w:val="Siln"/>
          <w:b w:val="0"/>
          <w:noProof/>
          <w:highlight w:val="yellow"/>
        </w:rPr>
        <w:t> </w:t>
      </w:r>
      <w:r w:rsidR="00E456FF" w:rsidRPr="00E456FF">
        <w:rPr>
          <w:rStyle w:val="Siln"/>
          <w:b w:val="0"/>
          <w:noProof/>
          <w:highlight w:val="yellow"/>
        </w:rPr>
        <w:t> </w:t>
      </w:r>
      <w:r w:rsidR="00E456FF" w:rsidRPr="00E456FF">
        <w:rPr>
          <w:rStyle w:val="Siln"/>
          <w:b w:val="0"/>
          <w:noProof/>
          <w:highlight w:val="yellow"/>
        </w:rPr>
        <w:t> </w:t>
      </w:r>
      <w:r w:rsidR="00E456FF" w:rsidRPr="00E456FF">
        <w:rPr>
          <w:rStyle w:val="Siln"/>
          <w:b w:val="0"/>
          <w:noProof/>
          <w:highlight w:val="yellow"/>
        </w:rPr>
        <w:t> </w:t>
      </w:r>
      <w:r w:rsidR="00E456FF" w:rsidRPr="00E456FF">
        <w:rPr>
          <w:rStyle w:val="Siln"/>
          <w:b w:val="0"/>
          <w:noProof/>
          <w:highlight w:val="yellow"/>
        </w:rPr>
        <w:t> </w:t>
      </w:r>
      <w:r w:rsidR="00E456FF" w:rsidRPr="00E456FF">
        <w:rPr>
          <w:rStyle w:val="Siln"/>
          <w:b w:val="0"/>
          <w:highlight w:val="yellow"/>
        </w:rPr>
        <w:fldChar w:fldCharType="end"/>
      </w:r>
      <w:bookmarkEnd w:id="18"/>
    </w:p>
    <w:p w:rsidR="007F3B24" w:rsidRDefault="007F3B24" w:rsidP="007F3B24">
      <w:pPr>
        <w:pStyle w:val="Odstavec2"/>
      </w:pPr>
      <w:r w:rsidRPr="007F3B24">
        <w:t>Objednatel se zavazuje poskytovateli poskytnout potřebnou součinnost pro plnění jeho závazku,</w:t>
      </w:r>
      <w:r>
        <w:t xml:space="preserve"> a to následující: </w:t>
      </w:r>
    </w:p>
    <w:p w:rsidR="007F3B24" w:rsidRDefault="007F3B24" w:rsidP="007F3B24">
      <w:pPr>
        <w:pStyle w:val="Odstavec3"/>
      </w:pPr>
      <w:r>
        <w:lastRenderedPageBreak/>
        <w:t xml:space="preserve">Objednatel umožní v případě nutnosti vstup osobám na straně poskytovatele do místa plnění a rovněž poskytne poskytovateli údaje ke vzdálenému přístupu k zařízením uvedeným v bodu </w:t>
      </w:r>
      <w:r>
        <w:fldChar w:fldCharType="begin"/>
      </w:r>
      <w:r>
        <w:instrText xml:space="preserve"> REF _Ref336258763 \r \h </w:instrText>
      </w:r>
      <w:r>
        <w:fldChar w:fldCharType="separate"/>
      </w:r>
      <w:r w:rsidR="005457CC">
        <w:t>1.2</w:t>
      </w:r>
      <w:r>
        <w:fldChar w:fldCharType="end"/>
      </w:r>
      <w:r>
        <w:t xml:space="preserve"> této smlouvy. V případě vzdáleného přístupu k systémům je poskytovatel povinen dodržovat podmínky a požadavky objednatele pro bezpečný přístup k systémům objednatele, se kterými bude poskytovatel objednatelem seznámen.</w:t>
      </w:r>
    </w:p>
    <w:p w:rsidR="007F3B24" w:rsidRDefault="007F3B24" w:rsidP="007F3B24">
      <w:pPr>
        <w:pStyle w:val="Odstavec2"/>
      </w:pPr>
      <w:r>
        <w:t xml:space="preserve">Pokud nebude poskytovatel řádně plnit své povinnosti plynoucí z této smlouvy, zejména poskytovatel nedodrží </w:t>
      </w:r>
      <w:r w:rsidR="00646269">
        <w:t xml:space="preserve">stanovenou </w:t>
      </w:r>
      <w:r>
        <w:t xml:space="preserve">reakční </w:t>
      </w:r>
      <w:r w:rsidR="00646269">
        <w:t xml:space="preserve">dobu </w:t>
      </w:r>
      <w:r>
        <w:t xml:space="preserve">(viz bod </w:t>
      </w:r>
      <w:r>
        <w:fldChar w:fldCharType="begin"/>
      </w:r>
      <w:r>
        <w:instrText xml:space="preserve"> REF _Ref336258763 \r \h </w:instrText>
      </w:r>
      <w:r>
        <w:fldChar w:fldCharType="separate"/>
      </w:r>
      <w:r w:rsidR="005457CC">
        <w:t>1.2</w:t>
      </w:r>
      <w:r>
        <w:fldChar w:fldCharType="end"/>
      </w:r>
      <w:r>
        <w:t xml:space="preserve"> této smlouvy), je objednatel oprávněn požadovat poskytovateli uhrazení smluvní pokuty ve výši 1.500,- Kč za každou započatou hodinu prodlení. Ujednání o smluvní pokutě nezbavuje objednatele nároku na náhradu škody v plné výši způsobené mu v důsledku porušení povinnosti poskytovatele, plynoucích z této smlouvy.</w:t>
      </w:r>
    </w:p>
    <w:p w:rsidR="00646269" w:rsidRDefault="00646269" w:rsidP="00646269">
      <w:pPr>
        <w:pStyle w:val="Odstavec2"/>
      </w:pPr>
      <w:r>
        <w:t xml:space="preserve">V případě, že poskytovatel nedodrží stanovenou pohotovost (viz bod </w:t>
      </w:r>
      <w:r>
        <w:fldChar w:fldCharType="begin"/>
      </w:r>
      <w:r>
        <w:instrText xml:space="preserve"> REF _Ref336258763 \r \h </w:instrText>
      </w:r>
      <w:r>
        <w:fldChar w:fldCharType="separate"/>
      </w:r>
      <w:r w:rsidR="005457CC">
        <w:t>1.2</w:t>
      </w:r>
      <w:r>
        <w:fldChar w:fldCharType="end"/>
      </w:r>
      <w:r>
        <w:t xml:space="preserve"> této smlouvy), je objednatel oprávněn požadovat poskytovateli uhrazení smluvní pokuty ve výši 1.500,- Kč za každou započatou hodinu nedodržení pohotovosti. Ujednání o smluvní pokutě nezbavuje objednatele nároku na náhradu škody v plné výši způsobené mu v důsledku porušení povinnosti poskytovatele, plynoucích z této smlouvy.</w:t>
      </w:r>
    </w:p>
    <w:p w:rsidR="00BE2A42" w:rsidRDefault="00BE2A42" w:rsidP="006929E9">
      <w:pPr>
        <w:pStyle w:val="Odstavec2"/>
      </w:pPr>
      <w:r>
        <w:t>V případě porušení jakékoli povinnosti poskytovatele vyplývající z této smlouvy, je objednatel oprávněn požadovat po poskytovateli uhrazení smluvní pokuty ve výši 1.500,- Kč za každé jednotlivé porušení povinnosti, a to i opakovaně,</w:t>
      </w:r>
    </w:p>
    <w:p w:rsidR="00BE2A42" w:rsidRPr="00C43308" w:rsidRDefault="00BE2A42" w:rsidP="006929E9">
      <w:pPr>
        <w:pStyle w:val="Odstavec2"/>
      </w:pPr>
      <w:r w:rsidRPr="00C43308">
        <w:t>Postoupí-li poskytovatel tuto smlouvu či její část bez souhlasu objednatele, je objednatel oprávněn poskytovateli vyúčtovat smluvní pokutu ve výši 10 000,- Kč</w:t>
      </w:r>
      <w:r w:rsidR="00646269">
        <w:t>, a</w:t>
      </w:r>
      <w:r w:rsidR="00E456FF">
        <w:t xml:space="preserve"> </w:t>
      </w:r>
      <w:r w:rsidR="00646269">
        <w:t>to i tehdy ukáže-li se takové postoupení jako neplatné.</w:t>
      </w:r>
    </w:p>
    <w:p w:rsidR="008F5A9D" w:rsidRDefault="008F5A9D" w:rsidP="006929E9">
      <w:pPr>
        <w:pStyle w:val="Odstavec2"/>
      </w:pPr>
      <w:r w:rsidRPr="00C43308">
        <w:t>Ujednání o</w:t>
      </w:r>
      <w:r w:rsidR="00AB2E91" w:rsidRPr="00C43308">
        <w:t> </w:t>
      </w:r>
      <w:r w:rsidRPr="00C43308">
        <w:t>smluvní pokutě nezbavuje objednatele nároku na náhradu š</w:t>
      </w:r>
      <w:r w:rsidR="00AB2E91" w:rsidRPr="00C43308">
        <w:t>kody v plné výši způsobené</w:t>
      </w:r>
      <w:r w:rsidR="00AB2E91">
        <w:t xml:space="preserve"> mu v </w:t>
      </w:r>
      <w:r>
        <w:t>důsledku porušení povinnosti poskytovatele, plynoucí z této smlouvy.</w:t>
      </w:r>
    </w:p>
    <w:p w:rsidR="00BE2A42" w:rsidRPr="00655C3C" w:rsidRDefault="00BE2A42" w:rsidP="00BE2A42">
      <w:pPr>
        <w:pStyle w:val="Odstavec2"/>
      </w:pPr>
      <w:r w:rsidRPr="00655C3C">
        <w:t>Sml</w:t>
      </w:r>
      <w:r>
        <w:t>uvní pokutu vyúčtuje oprávněná smluvní strana povinné smluvní straně písemnou formou, přičemž v</w:t>
      </w:r>
      <w:r w:rsidRPr="00655C3C">
        <w:t>e vyúčtová</w:t>
      </w:r>
      <w:r>
        <w:t>ní musí být uvedeno ustanovení s</w:t>
      </w:r>
      <w:r w:rsidRPr="00655C3C">
        <w:t>mlouvy, které k vyúčtování smluvní pokuty opravňuje a způsob výpočtu celkové výše smluvní pokuty.</w:t>
      </w:r>
    </w:p>
    <w:p w:rsidR="00BE2A42" w:rsidRPr="00655C3C" w:rsidRDefault="00BE2A42" w:rsidP="00BE2A42">
      <w:pPr>
        <w:pStyle w:val="Odstavec2"/>
      </w:pPr>
      <w:r>
        <w:t>Povinná s</w:t>
      </w:r>
      <w:r w:rsidRPr="00655C3C">
        <w:t>mluvní strana je povinna uhradit vyúčtované smluvní pokuty nejpozději do 30 dnů ode dne obdržení příslušného vyúčtování.</w:t>
      </w:r>
    </w:p>
    <w:p w:rsidR="00BE2A42" w:rsidRDefault="00BE2A42" w:rsidP="00266F07">
      <w:pPr>
        <w:pStyle w:val="Odstavec2"/>
      </w:pPr>
      <w:r>
        <w:t>Poskytovatel prohlašuje, že smluvní pokuty stanovené touto smlouvou považuje za přiměřené, a to s ohledem na povinnosti, ke kterým se vztahují.</w:t>
      </w:r>
    </w:p>
    <w:p w:rsidR="008F5A9D" w:rsidRDefault="008F5A9D" w:rsidP="008F39DA">
      <w:pPr>
        <w:pStyle w:val="lnek"/>
        <w:keepNext/>
        <w:ind w:left="17"/>
      </w:pPr>
      <w:r>
        <w:t>Ukončení smlouvy</w:t>
      </w:r>
    </w:p>
    <w:p w:rsidR="008F39DA" w:rsidRDefault="008F39DA" w:rsidP="008F39DA">
      <w:pPr>
        <w:pStyle w:val="Odstavec2"/>
        <w:numPr>
          <w:ilvl w:val="1"/>
          <w:numId w:val="4"/>
        </w:numPr>
      </w:pPr>
      <w:r>
        <w:t>Tato smlouva zaniká uplynutím doby, na kterou je uzavřena. Dále může být tato smlouva ukončena písemnou dohodou smluvních stran či jednostranným právním jednáním jedné ze smluvní stran dle platné legislativy.</w:t>
      </w:r>
    </w:p>
    <w:p w:rsidR="008F39DA" w:rsidRDefault="008F39DA" w:rsidP="008F39DA">
      <w:pPr>
        <w:pStyle w:val="Odstavec2"/>
        <w:numPr>
          <w:ilvl w:val="1"/>
          <w:numId w:val="4"/>
        </w:numPr>
      </w:pPr>
      <w:r>
        <w:t>Objednatel</w:t>
      </w:r>
      <w:r w:rsidRPr="00A85D35">
        <w:t xml:space="preserve"> má </w:t>
      </w:r>
      <w:r>
        <w:t xml:space="preserve">právo písemně </w:t>
      </w:r>
      <w:r w:rsidRPr="00A85D35">
        <w:t>odstoupit od smlouvy</w:t>
      </w:r>
      <w:r>
        <w:t>, vyjma důvodů uvedených v zákoně č. 89/2012 Sb., občanský zákoník, v platném znění, též z důvodu:</w:t>
      </w:r>
    </w:p>
    <w:p w:rsidR="008F39DA" w:rsidRDefault="008F39DA" w:rsidP="008F39DA">
      <w:pPr>
        <w:pStyle w:val="Odstavec3"/>
        <w:numPr>
          <w:ilvl w:val="2"/>
          <w:numId w:val="4"/>
        </w:numPr>
      </w:pPr>
      <w:r>
        <w:t>prodlení poskytovatele s poskytováním služby dle této smlouvy;</w:t>
      </w:r>
    </w:p>
    <w:p w:rsidR="008F39DA" w:rsidRDefault="008F39DA" w:rsidP="008F39DA">
      <w:pPr>
        <w:pStyle w:val="Odstavec3"/>
        <w:numPr>
          <w:ilvl w:val="2"/>
          <w:numId w:val="4"/>
        </w:numPr>
      </w:pPr>
      <w:r w:rsidRPr="00B126D1">
        <w:t>p</w:t>
      </w:r>
      <w:r>
        <w:t>oskytovatel</w:t>
      </w:r>
      <w:r w:rsidRPr="00B126D1">
        <w:t xml:space="preserve"> vstoupí do likvidace nebo </w:t>
      </w:r>
    </w:p>
    <w:p w:rsidR="008F39DA" w:rsidRPr="00B126D1" w:rsidRDefault="008F39DA" w:rsidP="008F39DA">
      <w:pPr>
        <w:pStyle w:val="Odstavec3"/>
        <w:numPr>
          <w:ilvl w:val="2"/>
          <w:numId w:val="4"/>
        </w:numPr>
      </w:pPr>
      <w:r w:rsidRPr="00B126D1">
        <w:t>bude vůči němu podán návrh dle zákona č. 182/2006 Sb., insolvenční zákon, v platném znění</w:t>
      </w:r>
      <w:r>
        <w:t>;</w:t>
      </w:r>
    </w:p>
    <w:p w:rsidR="008F39DA" w:rsidRPr="00CD0195" w:rsidRDefault="008F39DA" w:rsidP="008F39DA">
      <w:pPr>
        <w:pStyle w:val="Odstavec3"/>
        <w:numPr>
          <w:ilvl w:val="2"/>
          <w:numId w:val="4"/>
        </w:numPr>
      </w:pPr>
      <w:r>
        <w:t>opakované</w:t>
      </w:r>
      <w:r w:rsidR="006101A1">
        <w:t xml:space="preserve"> (více jak </w:t>
      </w:r>
      <w:r w:rsidR="00646269">
        <w:t>dvakrát</w:t>
      </w:r>
      <w:r w:rsidR="006101A1">
        <w:t>)</w:t>
      </w:r>
      <w:r>
        <w:t xml:space="preserve"> nedodržení podmínek </w:t>
      </w:r>
      <w:r w:rsidRPr="00B126D1">
        <w:t>stanovených smlouvou</w:t>
      </w:r>
      <w:r>
        <w:t xml:space="preserve"> ze strany poskytovatele</w:t>
      </w:r>
      <w:r w:rsidR="006101A1">
        <w:t>, zejména nedodržení reakční</w:t>
      </w:r>
      <w:r w:rsidR="00646269">
        <w:t xml:space="preserve"> doby nebo nedo</w:t>
      </w:r>
      <w:r w:rsidR="00E456FF">
        <w:t>d</w:t>
      </w:r>
      <w:r w:rsidR="00646269">
        <w:t>ržení pohotovosti</w:t>
      </w:r>
      <w:r w:rsidRPr="00B126D1">
        <w:t>;</w:t>
      </w:r>
    </w:p>
    <w:p w:rsidR="008F39DA" w:rsidRPr="00CD0195" w:rsidRDefault="008F39DA" w:rsidP="008F39DA">
      <w:pPr>
        <w:pStyle w:val="Odstavec3"/>
        <w:numPr>
          <w:ilvl w:val="2"/>
          <w:numId w:val="4"/>
        </w:numPr>
      </w:pPr>
      <w:r w:rsidRPr="00B126D1">
        <w:t>p</w:t>
      </w:r>
      <w:r>
        <w:t>oskytovateli</w:t>
      </w:r>
      <w:r w:rsidRPr="00B126D1">
        <w:t xml:space="preserve"> zanikne živnostenské oprávnění dle zákona č. 455/1991 Sb., živnostenský zákon, ve znění pozdějších předpisů, nebo jiné oprávnění nezbyt</w:t>
      </w:r>
      <w:r>
        <w:t>né pro řádné plnění svých závazků</w:t>
      </w:r>
      <w:r w:rsidRPr="00B126D1">
        <w:t>;</w:t>
      </w:r>
    </w:p>
    <w:p w:rsidR="008F39DA" w:rsidRPr="00CD0195" w:rsidRDefault="008F39DA" w:rsidP="008F39DA">
      <w:pPr>
        <w:pStyle w:val="Odstavec3"/>
        <w:numPr>
          <w:ilvl w:val="2"/>
          <w:numId w:val="4"/>
        </w:numPr>
      </w:pPr>
      <w:r w:rsidRPr="00B126D1">
        <w:t>pravomocné o</w:t>
      </w:r>
      <w:r w:rsidRPr="00CD0195">
        <w:t xml:space="preserve">dsouzení </w:t>
      </w:r>
      <w:r>
        <w:t>poskytovatele</w:t>
      </w:r>
      <w:r w:rsidRPr="00CD0195">
        <w:t xml:space="preserve"> pro trestný čin podle zákona č. 418/2011 Sb., o trestní odpovědnosti právnických osob a řízení proti nim, ve znění pozdějších předpisů.</w:t>
      </w:r>
    </w:p>
    <w:p w:rsidR="008F39DA" w:rsidRPr="00B126D1" w:rsidRDefault="008F39DA" w:rsidP="008F39DA">
      <w:pPr>
        <w:pStyle w:val="Odstavec2"/>
        <w:numPr>
          <w:ilvl w:val="1"/>
          <w:numId w:val="4"/>
        </w:numPr>
      </w:pPr>
      <w:r w:rsidRPr="00CD0195">
        <w:lastRenderedPageBreak/>
        <w:t xml:space="preserve">Smluvní strany dále shodně prohlašují, že důvodem k odstoupení od smlouvy ze strany </w:t>
      </w:r>
      <w:r>
        <w:t>objednatele</w:t>
      </w:r>
      <w:r w:rsidRPr="00B126D1">
        <w:t xml:space="preserve"> je i případ zahájení trestního stíhání proti </w:t>
      </w:r>
      <w:r>
        <w:t>poskytovateli</w:t>
      </w:r>
      <w:r w:rsidRPr="00B126D1">
        <w:t xml:space="preserve"> podle zákona č. 141/1961 Sb., o trestním řízení soudním, v platném znění.</w:t>
      </w:r>
    </w:p>
    <w:p w:rsidR="008F39DA" w:rsidRDefault="008F39DA" w:rsidP="008F39DA">
      <w:pPr>
        <w:pStyle w:val="Odstavec2"/>
        <w:numPr>
          <w:ilvl w:val="1"/>
          <w:numId w:val="4"/>
        </w:numPr>
      </w:pPr>
      <w:r w:rsidRPr="00B126D1">
        <w:rPr>
          <w:rFonts w:cs="Arial"/>
        </w:rPr>
        <w:t>P</w:t>
      </w:r>
      <w:r>
        <w:rPr>
          <w:rFonts w:cs="Arial"/>
        </w:rPr>
        <w:t>oskytovatel</w:t>
      </w:r>
      <w:r w:rsidRPr="00B126D1">
        <w:rPr>
          <w:rFonts w:cs="Arial"/>
        </w:rPr>
        <w:t xml:space="preserve"> je </w:t>
      </w:r>
      <w:r>
        <w:rPr>
          <w:rFonts w:cs="Arial"/>
        </w:rPr>
        <w:t xml:space="preserve">oprávněn </w:t>
      </w:r>
      <w:r>
        <w:t xml:space="preserve">písemně </w:t>
      </w:r>
      <w:r w:rsidRPr="00A85D35">
        <w:t>odstoupit od smlouvy</w:t>
      </w:r>
      <w:r>
        <w:t>, vyjma důvodů uvedených v zákoně č. 89/2012 Sb., občanský zákoník, v platném znění, též z důvodu:</w:t>
      </w:r>
    </w:p>
    <w:p w:rsidR="008F39DA" w:rsidRDefault="008F39DA" w:rsidP="008F39DA">
      <w:pPr>
        <w:pStyle w:val="Odstavec3"/>
        <w:numPr>
          <w:ilvl w:val="2"/>
          <w:numId w:val="4"/>
        </w:numPr>
      </w:pPr>
      <w:r>
        <w:t>prodlení objednatele s platbou dle této smlouvy;</w:t>
      </w:r>
    </w:p>
    <w:p w:rsidR="008F39DA" w:rsidRDefault="008F39DA" w:rsidP="008F39DA">
      <w:pPr>
        <w:pStyle w:val="Odstavec3"/>
        <w:numPr>
          <w:ilvl w:val="2"/>
          <w:numId w:val="4"/>
        </w:numPr>
      </w:pPr>
      <w:r>
        <w:t xml:space="preserve">objednatel </w:t>
      </w:r>
      <w:r w:rsidRPr="00B126D1">
        <w:t xml:space="preserve">vstoupí do likvidace nebo </w:t>
      </w:r>
    </w:p>
    <w:p w:rsidR="008F39DA" w:rsidRPr="00B126D1" w:rsidRDefault="008F39DA" w:rsidP="008F39DA">
      <w:pPr>
        <w:pStyle w:val="Odstavec3"/>
        <w:numPr>
          <w:ilvl w:val="2"/>
          <w:numId w:val="4"/>
        </w:numPr>
      </w:pPr>
      <w:r w:rsidRPr="00B126D1">
        <w:t>bude vůči němu podán návrh dle zákona č. 182/2006 Sb., insolvenční zákon, v platném znění</w:t>
      </w:r>
      <w:r>
        <w:t>;</w:t>
      </w:r>
    </w:p>
    <w:p w:rsidR="008F39DA" w:rsidRPr="006178DF" w:rsidRDefault="008F39DA" w:rsidP="008F39DA">
      <w:pPr>
        <w:pStyle w:val="Odstavec3"/>
        <w:numPr>
          <w:ilvl w:val="2"/>
          <w:numId w:val="4"/>
        </w:numPr>
      </w:pPr>
      <w:r w:rsidRPr="00B126D1">
        <w:t>opakované nedodržení podmínek stanovených smlouvou</w:t>
      </w:r>
      <w:r>
        <w:t xml:space="preserve"> ze strany objednatele</w:t>
      </w:r>
      <w:r w:rsidRPr="00B126D1">
        <w:t>;</w:t>
      </w:r>
    </w:p>
    <w:p w:rsidR="008F39DA" w:rsidRPr="006178DF" w:rsidRDefault="008F39DA" w:rsidP="008F39DA">
      <w:pPr>
        <w:pStyle w:val="Odstavec3"/>
        <w:numPr>
          <w:ilvl w:val="2"/>
          <w:numId w:val="4"/>
        </w:numPr>
      </w:pPr>
      <w:r w:rsidRPr="00B126D1">
        <w:t>pravomocné o</w:t>
      </w:r>
      <w:r w:rsidRPr="006178DF">
        <w:t xml:space="preserve">dsouzení </w:t>
      </w:r>
      <w:r>
        <w:t>objednatele</w:t>
      </w:r>
      <w:r w:rsidRPr="006178DF">
        <w:t xml:space="preserve"> pro trestný čin podle zákona č. 418/2011 Sb., o trestní odpovědnosti právnických osob a řízení proti nim, ve znění pozdějších předpisů.</w:t>
      </w:r>
    </w:p>
    <w:p w:rsidR="008F39DA" w:rsidRPr="00B126D1" w:rsidRDefault="008F39DA" w:rsidP="008F39DA">
      <w:pPr>
        <w:pStyle w:val="Odstavec2"/>
        <w:numPr>
          <w:ilvl w:val="1"/>
          <w:numId w:val="4"/>
        </w:numPr>
      </w:pPr>
      <w:r w:rsidRPr="006178DF">
        <w:t xml:space="preserve">Smluvní strany dále shodně prohlašují, že důvodem k odstoupení od smlouvy ze strany </w:t>
      </w:r>
      <w:r>
        <w:t>poskytovatele</w:t>
      </w:r>
      <w:r w:rsidRPr="00B126D1">
        <w:t xml:space="preserve"> je i případ zahájení trestního stíhání proti </w:t>
      </w:r>
      <w:r>
        <w:t>objednateli</w:t>
      </w:r>
      <w:r w:rsidRPr="00B126D1">
        <w:t xml:space="preserve"> podle zákona č. 141/1961 Sb., o trestním řízení soudním, v platném znění.</w:t>
      </w:r>
    </w:p>
    <w:p w:rsidR="008F39DA" w:rsidRDefault="008F39DA" w:rsidP="008F39DA">
      <w:pPr>
        <w:pStyle w:val="Odstavec2"/>
        <w:numPr>
          <w:ilvl w:val="1"/>
          <w:numId w:val="4"/>
        </w:numPr>
      </w:pPr>
      <w:r w:rsidRPr="00B126D1">
        <w:t xml:space="preserve">Odstoupení od smlouvy je účinné dnem doručení písemného oznámení o odstoupení </w:t>
      </w:r>
      <w:r>
        <w:t>na adresu sídla druhé smluvní strany uvedené</w:t>
      </w:r>
      <w:r w:rsidRPr="00B126D1">
        <w:t xml:space="preserve"> v záhlaví této smlouvy.</w:t>
      </w:r>
    </w:p>
    <w:p w:rsidR="008F39DA" w:rsidRPr="00B126D1" w:rsidRDefault="008F39DA" w:rsidP="008F39DA">
      <w:pPr>
        <w:pStyle w:val="Odstavec2"/>
        <w:numPr>
          <w:ilvl w:val="1"/>
          <w:numId w:val="4"/>
        </w:numPr>
      </w:pPr>
      <w:r>
        <w:t xml:space="preserve">Smluvní strany se dohodly, že tato smlouva může být ukončena výpovědí bez výpovědní doby ze stanovených důvodů, kdy každá ze smluvních stran je oprávněna tuto smlouvu ukončit písemnou výpovědí bez výpovědní doby ze stejných důvodů, pro které je možno od této smlouvy odstoupit. V případě výpovědi bez výpovědní doby se uplatní domněnka doby dojití dle § 573 zákona č. 89/2012 Sb. </w:t>
      </w:r>
    </w:p>
    <w:p w:rsidR="008F5A9D" w:rsidRDefault="008F5A9D" w:rsidP="006929E9">
      <w:pPr>
        <w:pStyle w:val="lnek"/>
      </w:pPr>
      <w:r>
        <w:t>Závěrečná ustanovení</w:t>
      </w:r>
    </w:p>
    <w:p w:rsidR="008F5A9D" w:rsidRDefault="008F5A9D" w:rsidP="006929E9">
      <w:pPr>
        <w:pStyle w:val="Odstavec2"/>
      </w:pPr>
      <w:r>
        <w:t xml:space="preserve">Tato smlouva a veškeré právní vztahy z ní vzniklé se řídí ustanoveními zákona č. </w:t>
      </w:r>
      <w:r w:rsidR="00152C2A">
        <w:t>89/2012</w:t>
      </w:r>
      <w:r>
        <w:t xml:space="preserve"> Sb., ob</w:t>
      </w:r>
      <w:r w:rsidR="00152C2A">
        <w:t>čanský</w:t>
      </w:r>
      <w:r>
        <w:t xml:space="preserve"> zákoník, v</w:t>
      </w:r>
      <w:r w:rsidR="00152C2A">
        <w:t> platném znění</w:t>
      </w:r>
      <w:r>
        <w:t>, a ostatními obecně závaznými předpisy českého právního řádu.</w:t>
      </w:r>
    </w:p>
    <w:p w:rsidR="008F5A9D" w:rsidRDefault="008F5A9D" w:rsidP="006929E9">
      <w:pPr>
        <w:pStyle w:val="Odstavec2"/>
      </w:pPr>
      <w:r>
        <w:t xml:space="preserve">Ustanovení této smlouvy jsou oddělitelná v tom smyslu, že </w:t>
      </w:r>
      <w:r w:rsidR="00AB2E91">
        <w:t>případná neplatnost některého z </w:t>
      </w:r>
      <w:r>
        <w:t>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8F5A9D" w:rsidRDefault="008F5A9D" w:rsidP="006929E9">
      <w:pPr>
        <w:pStyle w:val="Odstavec2"/>
      </w:pPr>
      <w:r>
        <w:t xml:space="preserve">Smlouva včetně příloh jakožto nedílných součástí této smlouvy je vyhotovena ve čtyřech výtiscích, z nichž každý má sílu originálu. Dvě vyhotovení obdrží objednatel a dvě poskytovatel. </w:t>
      </w:r>
    </w:p>
    <w:p w:rsidR="00152C2A" w:rsidRDefault="008F5A9D" w:rsidP="006929E9">
      <w:pPr>
        <w:pStyle w:val="Odstavec2"/>
      </w:pPr>
      <w:r>
        <w:t>Veškeré změny a doplnění této smlouvy mohou být provedeny se souhlasem obou smluvních stran pouze číslovanými, písemnými dodatky podepsanými oprávněnými zástupci obou smluvních stran.</w:t>
      </w:r>
    </w:p>
    <w:p w:rsidR="00152C2A" w:rsidRDefault="00152C2A" w:rsidP="00152C2A">
      <w:pPr>
        <w:pStyle w:val="Odstavec2"/>
      </w:pPr>
      <w:r>
        <w:t>Smluvní strany si výslovně sjednávají, že ustanovení § 176</w:t>
      </w:r>
      <w:r w:rsidR="006101A1">
        <w:t>4</w:t>
      </w:r>
      <w:r>
        <w:t xml:space="preserve"> a</w:t>
      </w:r>
      <w:r w:rsidR="006101A1">
        <w:t>ž</w:t>
      </w:r>
      <w:r>
        <w:t xml:space="preserve"> § 1766 </w:t>
      </w:r>
      <w:r w:rsidRPr="006857A4">
        <w:t>z</w:t>
      </w:r>
      <w:r>
        <w:t>.</w:t>
      </w:r>
      <w:r w:rsidRPr="006857A4">
        <w:t xml:space="preserve"> č. 89/2012 Sb., občanského zákoníku,</w:t>
      </w:r>
      <w:r>
        <w:t xml:space="preserve"> v platném znění, se na vztah založený touto smlouvou nepoužijí.</w:t>
      </w:r>
    </w:p>
    <w:p w:rsidR="00152C2A" w:rsidRDefault="00152C2A" w:rsidP="00152C2A">
      <w:pPr>
        <w:pStyle w:val="Odstavec2"/>
      </w:pPr>
      <w:r>
        <w:t xml:space="preserve">Smluvní strany se dále s ohledem na povahu smlouvy dohodly, že bez předchozího písemného souhlasu objednatele poskytovatel nepřevede svá práva a povinnosti ze smlouvy ani její části třetí osobě podle ust. </w:t>
      </w:r>
      <w:r w:rsidRPr="002525FB">
        <w:t>§§ 1895-1900</w:t>
      </w:r>
      <w:r>
        <w:t xml:space="preserve"> </w:t>
      </w:r>
      <w:r w:rsidRPr="002525FB">
        <w:t>z</w:t>
      </w:r>
      <w:r>
        <w:t>.</w:t>
      </w:r>
      <w:r w:rsidRPr="002525FB">
        <w:t xml:space="preserve"> č. 89/2012 Sb., občanského zákoníku</w:t>
      </w:r>
      <w:r>
        <w:t>, v platném znění.</w:t>
      </w:r>
    </w:p>
    <w:p w:rsidR="00152C2A" w:rsidRDefault="00152C2A" w:rsidP="00152C2A">
      <w:pPr>
        <w:pStyle w:val="Odstavec2"/>
      </w:pPr>
      <w:r>
        <w:t>Tato smlouva není převoditelná rubopisem.</w:t>
      </w:r>
    </w:p>
    <w:p w:rsidR="00152C2A" w:rsidRDefault="00152C2A" w:rsidP="00152C2A">
      <w:pPr>
        <w:pStyle w:val="Odstavec2"/>
      </w:pPr>
      <w:r w:rsidRPr="00BC573E">
        <w:t xml:space="preserve">Smluvní strany prohlašují, že veškeré podmínky plnění, zejména práva a povinnosti, sankce za porušení </w:t>
      </w:r>
      <w:r w:rsidR="007E3CB5">
        <w:t>s</w:t>
      </w:r>
      <w:r>
        <w:t>mlouvy</w:t>
      </w:r>
      <w:r w:rsidRPr="00BC573E">
        <w:t>, které byly mezi nim</w:t>
      </w:r>
      <w:r>
        <w:t xml:space="preserve">i v souvislosti s </w:t>
      </w:r>
      <w:r w:rsidR="007E3CB5">
        <w:t>plněním</w:t>
      </w:r>
      <w:r w:rsidRPr="00BC573E">
        <w:t xml:space="preserve"> ujednány, jsou obsaženy v textu této </w:t>
      </w:r>
      <w:r w:rsidR="007E3CB5">
        <w:t>s</w:t>
      </w:r>
      <w:r>
        <w:t>mlouvy</w:t>
      </w:r>
      <w:r w:rsidRPr="00C031B8">
        <w:rPr>
          <w:b/>
          <w:bCs/>
        </w:rPr>
        <w:t xml:space="preserve"> </w:t>
      </w:r>
      <w:r w:rsidRPr="00C031B8">
        <w:rPr>
          <w:bCs/>
        </w:rPr>
        <w:t xml:space="preserve">včetně jejích příloh, </w:t>
      </w:r>
      <w:r w:rsidRPr="00532DFB">
        <w:rPr>
          <w:bCs/>
        </w:rPr>
        <w:t>a dokumentech, na které Smlouva výslovně odkazuje</w:t>
      </w:r>
      <w:r w:rsidRPr="00532DFB">
        <w:t>. Smluvní strany výslovně prohl</w:t>
      </w:r>
      <w:r w:rsidR="007E3CB5">
        <w:t>ašují, že ke dni uzavření této s</w:t>
      </w:r>
      <w:r w:rsidRPr="00532DFB">
        <w:t>mlouvy se ruší veškerá případná ujednání a dohody, které by se týkaly shodného předmětu plnění a tyto jsou v plném rozsahu nahrazen</w:t>
      </w:r>
      <w:r w:rsidR="007E3CB5">
        <w:t>y ujednáními obsaženými v této s</w:t>
      </w:r>
      <w:r w:rsidRPr="00532DFB">
        <w:t>mlouvě, tj. neexistuje žádné ji</w:t>
      </w:r>
      <w:r w:rsidRPr="00BC573E">
        <w:t>né</w:t>
      </w:r>
      <w:r w:rsidR="007E3CB5">
        <w:t xml:space="preserve"> ujednání, které by tuto s</w:t>
      </w:r>
      <w:r>
        <w:t>mlouvu</w:t>
      </w:r>
      <w:r w:rsidRPr="000806B5">
        <w:t xml:space="preserve"> doplňovalo nebo měnilo. </w:t>
      </w:r>
    </w:p>
    <w:p w:rsidR="008F5A9D" w:rsidRDefault="00152C2A" w:rsidP="00FF3EA5">
      <w:pPr>
        <w:pStyle w:val="Odstavec2"/>
      </w:pPr>
      <w:r w:rsidRPr="000D1392">
        <w:lastRenderedPageBreak/>
        <w:t xml:space="preserve">Jakékoliv jednání předvídané </w:t>
      </w:r>
      <w:r w:rsidR="007E3CB5">
        <w:t>v této s</w:t>
      </w:r>
      <w:r>
        <w:t>mlouvě</w:t>
      </w:r>
      <w:r w:rsidRPr="000D1392">
        <w:t>, musí být uč</w:t>
      </w:r>
      <w:r w:rsidR="007E3CB5">
        <w:t>iněno, není-li ve s</w:t>
      </w:r>
      <w:r>
        <w:t>mlouvě</w:t>
      </w:r>
      <w:r w:rsidRPr="000D1392">
        <w:t xml:space="preserve"> výslovně stanoveno jinak, písemně v listinné podobě a musí </w:t>
      </w:r>
      <w:r w:rsidR="007E3CB5">
        <w:t>být s vyloučením ust. § 566 zákona</w:t>
      </w:r>
      <w:r w:rsidRPr="000D1392">
        <w:t xml:space="preserve"> č. 89/2012 Sb., občanský zákoník, </w:t>
      </w:r>
      <w:r w:rsidR="007E3CB5">
        <w:t xml:space="preserve">v platném znění, </w:t>
      </w:r>
      <w:r w:rsidRPr="000D1392">
        <w:t xml:space="preserve">řádně podepsané oprávněnými osobami. Jakékoliv jiné jednání, včetně e-mailové korespondence, je bez právního významu, není-li ve </w:t>
      </w:r>
      <w:r w:rsidR="007E3CB5">
        <w:t>s</w:t>
      </w:r>
      <w:r>
        <w:t>mlouvě</w:t>
      </w:r>
      <w:r w:rsidRPr="000D1392">
        <w:t xml:space="preserve"> výslovně stanoveno jinak</w:t>
      </w:r>
      <w:r>
        <w:t>.</w:t>
      </w:r>
      <w:r w:rsidR="008F5A9D">
        <w:t xml:space="preserve"> </w:t>
      </w:r>
    </w:p>
    <w:p w:rsidR="008F5A9D" w:rsidRDefault="008F5A9D" w:rsidP="006929E9">
      <w:pPr>
        <w:pStyle w:val="Odstavec2"/>
      </w:pPr>
      <w:r>
        <w:t>Případné spory vzniklé mezi smluvními stranami, které se nepodaří vyřešit smírnou cestou, budou zásadně řešeny u příslušných soudů České republiky.</w:t>
      </w:r>
    </w:p>
    <w:p w:rsidR="008F5A9D" w:rsidRDefault="008F5A9D" w:rsidP="006929E9">
      <w:pPr>
        <w:pStyle w:val="Odstavec2"/>
      </w:pPr>
      <w:r>
        <w:t>Smlouva nabývá platnosti a účinnosti dnem podpisu oběma smluvními stranami a je uzavírána na dobu určitou v trvání 2 (dva) roky od uzavření této smlouvy.</w:t>
      </w:r>
    </w:p>
    <w:p w:rsidR="008F5A9D" w:rsidRDefault="008F5A9D" w:rsidP="006929E9">
      <w:pPr>
        <w:pStyle w:val="Odstavec2"/>
      </w:pPr>
      <w:r>
        <w:t xml:space="preserve">Nedílnou součástí této smlouvy jsou její přílohy: </w:t>
      </w:r>
    </w:p>
    <w:p w:rsidR="008F5A9D" w:rsidRDefault="008F5A9D" w:rsidP="006929E9">
      <w:pPr>
        <w:pStyle w:val="normlnpod11"/>
        <w:spacing w:before="120" w:after="0"/>
      </w:pPr>
      <w:r>
        <w:t>Příloha č. 1 – technická část, cenová nabídka poskytovatele ze dne</w:t>
      </w:r>
      <w:r w:rsidR="008F39DA">
        <w:t xml:space="preserve"> </w:t>
      </w:r>
      <w:r w:rsidR="008F39DA" w:rsidRPr="008F39DA">
        <w:rPr>
          <w:highlight w:val="yellow"/>
        </w:rPr>
        <w:fldChar w:fldCharType="begin">
          <w:ffData>
            <w:name w:val="Text28"/>
            <w:enabled/>
            <w:calcOnExit w:val="0"/>
            <w:textInput/>
          </w:ffData>
        </w:fldChar>
      </w:r>
      <w:bookmarkStart w:id="19" w:name="Text28"/>
      <w:r w:rsidR="008F39DA" w:rsidRPr="008F39DA">
        <w:rPr>
          <w:highlight w:val="yellow"/>
        </w:rPr>
        <w:instrText xml:space="preserve"> FORMTEXT </w:instrText>
      </w:r>
      <w:r w:rsidR="008F39DA" w:rsidRPr="008F39DA">
        <w:rPr>
          <w:highlight w:val="yellow"/>
        </w:rPr>
      </w:r>
      <w:r w:rsidR="008F39DA" w:rsidRPr="008F39DA">
        <w:rPr>
          <w:highlight w:val="yellow"/>
        </w:rPr>
        <w:fldChar w:fldCharType="separate"/>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highlight w:val="yellow"/>
        </w:rPr>
        <w:fldChar w:fldCharType="end"/>
      </w:r>
      <w:bookmarkEnd w:id="19"/>
    </w:p>
    <w:p w:rsidR="008F5A9D" w:rsidRDefault="008F5A9D" w:rsidP="006929E9">
      <w:pPr>
        <w:pStyle w:val="normlnpod11"/>
        <w:spacing w:after="0"/>
      </w:pPr>
      <w:r>
        <w:t>Příloha č. 2 – kontakty a kontaktní osoby</w:t>
      </w:r>
    </w:p>
    <w:p w:rsidR="008F5A9D" w:rsidRDefault="008F5A9D" w:rsidP="006929E9">
      <w:pPr>
        <w:pStyle w:val="normlnpod11"/>
        <w:spacing w:before="120" w:after="0"/>
      </w:pPr>
      <w:r>
        <w:t>V případě, že příloha smlouvy bude v rozporu s ustanoveními smlouvy, mají přednost ustanovení této smlouvy.</w:t>
      </w:r>
    </w:p>
    <w:p w:rsidR="008F5A9D" w:rsidRDefault="008F5A9D" w:rsidP="006929E9">
      <w:pPr>
        <w:spacing w:before="240" w:after="0"/>
      </w:pPr>
      <w:r>
        <w:t>Na důkaz souhlasu s obsahem všech výše uvedených ustanovení připojují obě smluvní strany podpisy svých oprávněných zástupců.</w:t>
      </w:r>
    </w:p>
    <w:p w:rsidR="008F5A9D" w:rsidRDefault="008F5A9D" w:rsidP="008F5A9D"/>
    <w:p w:rsidR="008F5A9D" w:rsidRDefault="008F5A9D" w:rsidP="006929E9">
      <w:pPr>
        <w:tabs>
          <w:tab w:val="left" w:pos="5529"/>
        </w:tabs>
      </w:pPr>
      <w:r>
        <w:t>V Praze dne</w:t>
      </w:r>
      <w:r w:rsidR="006929E9">
        <w:t xml:space="preserve"> ........</w:t>
      </w:r>
      <w:r>
        <w:t xml:space="preserve"> </w:t>
      </w:r>
      <w:r>
        <w:tab/>
        <w:t>V</w:t>
      </w:r>
      <w:r w:rsidR="006929E9">
        <w:t xml:space="preserve"> ...................</w:t>
      </w:r>
      <w:r>
        <w:t xml:space="preserve"> dne: </w:t>
      </w:r>
      <w:r w:rsidR="006929E9">
        <w:t>...............</w:t>
      </w:r>
    </w:p>
    <w:p w:rsidR="008F5A9D" w:rsidRDefault="008F5A9D" w:rsidP="006929E9">
      <w:pPr>
        <w:tabs>
          <w:tab w:val="center" w:pos="2552"/>
          <w:tab w:val="center" w:pos="6521"/>
        </w:tabs>
      </w:pPr>
    </w:p>
    <w:p w:rsidR="008F5A9D" w:rsidRDefault="008F5A9D" w:rsidP="006929E9">
      <w:pPr>
        <w:tabs>
          <w:tab w:val="left" w:pos="5529"/>
        </w:tabs>
      </w:pPr>
      <w:r>
        <w:t>Objednatel</w:t>
      </w:r>
      <w:r>
        <w:tab/>
        <w:t>Poskytovatel:</w:t>
      </w:r>
    </w:p>
    <w:p w:rsidR="008F5A9D" w:rsidRDefault="008F5A9D" w:rsidP="006929E9">
      <w:pPr>
        <w:tabs>
          <w:tab w:val="left" w:pos="5529"/>
        </w:tabs>
      </w:pPr>
      <w:r>
        <w:t>ČEPRO, a.s.</w:t>
      </w:r>
      <w:r w:rsidR="006929E9">
        <w:tab/>
      </w:r>
      <w:r w:rsidR="006929E9" w:rsidRPr="008F39DA">
        <w:rPr>
          <w:highlight w:val="yellow"/>
        </w:rPr>
        <w:fldChar w:fldCharType="begin">
          <w:ffData>
            <w:name w:val="Text25"/>
            <w:enabled/>
            <w:calcOnExit w:val="0"/>
            <w:textInput/>
          </w:ffData>
        </w:fldChar>
      </w:r>
      <w:bookmarkStart w:id="20" w:name="Text25"/>
      <w:r w:rsidR="006929E9" w:rsidRPr="008F39DA">
        <w:rPr>
          <w:highlight w:val="yellow"/>
        </w:rPr>
        <w:instrText xml:space="preserve"> FORMTEXT </w:instrText>
      </w:r>
      <w:r w:rsidR="006929E9" w:rsidRPr="008F39DA">
        <w:rPr>
          <w:highlight w:val="yellow"/>
        </w:rPr>
      </w:r>
      <w:r w:rsidR="006929E9" w:rsidRPr="008F39DA">
        <w:rPr>
          <w:highlight w:val="yellow"/>
        </w:rPr>
        <w:fldChar w:fldCharType="separate"/>
      </w:r>
      <w:r w:rsidR="006929E9" w:rsidRPr="008F39DA">
        <w:rPr>
          <w:noProof/>
          <w:highlight w:val="yellow"/>
        </w:rPr>
        <w:t> </w:t>
      </w:r>
      <w:r w:rsidR="006929E9" w:rsidRPr="008F39DA">
        <w:rPr>
          <w:noProof/>
          <w:highlight w:val="yellow"/>
        </w:rPr>
        <w:t> </w:t>
      </w:r>
      <w:r w:rsidR="006929E9" w:rsidRPr="008F39DA">
        <w:rPr>
          <w:noProof/>
          <w:highlight w:val="yellow"/>
        </w:rPr>
        <w:t> </w:t>
      </w:r>
      <w:r w:rsidR="006929E9" w:rsidRPr="008F39DA">
        <w:rPr>
          <w:noProof/>
          <w:highlight w:val="yellow"/>
        </w:rPr>
        <w:t> </w:t>
      </w:r>
      <w:r w:rsidR="006929E9" w:rsidRPr="008F39DA">
        <w:rPr>
          <w:noProof/>
          <w:highlight w:val="yellow"/>
        </w:rPr>
        <w:t> </w:t>
      </w:r>
      <w:r w:rsidR="006929E9" w:rsidRPr="008F39DA">
        <w:rPr>
          <w:highlight w:val="yellow"/>
        </w:rPr>
        <w:fldChar w:fldCharType="end"/>
      </w:r>
      <w:bookmarkEnd w:id="20"/>
      <w:r>
        <w:t xml:space="preserve"> </w:t>
      </w:r>
    </w:p>
    <w:p w:rsidR="006929E9" w:rsidRDefault="006929E9" w:rsidP="006929E9">
      <w:pPr>
        <w:tabs>
          <w:tab w:val="center" w:pos="2552"/>
          <w:tab w:val="center" w:pos="6521"/>
        </w:tabs>
        <w:spacing w:after="0"/>
      </w:pPr>
    </w:p>
    <w:p w:rsidR="008F5A9D" w:rsidRDefault="008F5A9D" w:rsidP="008F39DA">
      <w:pPr>
        <w:tabs>
          <w:tab w:val="left" w:pos="0"/>
          <w:tab w:val="left" w:pos="5529"/>
        </w:tabs>
        <w:spacing w:after="0"/>
      </w:pPr>
      <w:r>
        <w:t>………………………………………</w:t>
      </w:r>
      <w:r>
        <w:tab/>
        <w:t>…………..……………………….</w:t>
      </w:r>
    </w:p>
    <w:p w:rsidR="008F5A9D" w:rsidRDefault="008F39DA" w:rsidP="008F39DA">
      <w:pPr>
        <w:tabs>
          <w:tab w:val="left" w:pos="0"/>
          <w:tab w:val="left" w:pos="5529"/>
        </w:tabs>
        <w:spacing w:after="0"/>
      </w:pPr>
      <w:r>
        <w:t>Mgr. Jan Duspěva</w:t>
      </w:r>
      <w:r>
        <w:tab/>
      </w:r>
      <w:r w:rsidRPr="008F39DA">
        <w:rPr>
          <w:highlight w:val="yellow"/>
        </w:rPr>
        <w:fldChar w:fldCharType="begin">
          <w:ffData>
            <w:name w:val="Text29"/>
            <w:enabled/>
            <w:calcOnExit w:val="0"/>
            <w:textInput/>
          </w:ffData>
        </w:fldChar>
      </w:r>
      <w:bookmarkStart w:id="21" w:name="Text29"/>
      <w:r w:rsidRPr="008F39DA">
        <w:rPr>
          <w:highlight w:val="yellow"/>
        </w:rPr>
        <w:instrText xml:space="preserve"> FORMTEXT </w:instrText>
      </w:r>
      <w:r w:rsidRPr="008F39DA">
        <w:rPr>
          <w:highlight w:val="yellow"/>
        </w:rPr>
      </w:r>
      <w:r w:rsidRPr="008F39DA">
        <w:rPr>
          <w:highlight w:val="yellow"/>
        </w:rPr>
        <w:fldChar w:fldCharType="separate"/>
      </w:r>
      <w:r w:rsidRPr="008F39DA">
        <w:rPr>
          <w:noProof/>
          <w:highlight w:val="yellow"/>
        </w:rPr>
        <w:t> </w:t>
      </w:r>
      <w:r w:rsidRPr="008F39DA">
        <w:rPr>
          <w:noProof/>
          <w:highlight w:val="yellow"/>
        </w:rPr>
        <w:t> </w:t>
      </w:r>
      <w:r w:rsidRPr="008F39DA">
        <w:rPr>
          <w:noProof/>
          <w:highlight w:val="yellow"/>
        </w:rPr>
        <w:t> </w:t>
      </w:r>
      <w:r w:rsidRPr="008F39DA">
        <w:rPr>
          <w:noProof/>
          <w:highlight w:val="yellow"/>
        </w:rPr>
        <w:t> </w:t>
      </w:r>
      <w:r w:rsidRPr="008F39DA">
        <w:rPr>
          <w:noProof/>
          <w:highlight w:val="yellow"/>
        </w:rPr>
        <w:t> </w:t>
      </w:r>
      <w:r w:rsidRPr="008F39DA">
        <w:rPr>
          <w:highlight w:val="yellow"/>
        </w:rPr>
        <w:fldChar w:fldCharType="end"/>
      </w:r>
      <w:bookmarkEnd w:id="21"/>
    </w:p>
    <w:p w:rsidR="008F39DA" w:rsidRDefault="008F5A9D" w:rsidP="008F39DA">
      <w:pPr>
        <w:tabs>
          <w:tab w:val="left" w:pos="0"/>
          <w:tab w:val="left" w:pos="5529"/>
        </w:tabs>
        <w:spacing w:after="0"/>
      </w:pPr>
      <w:r>
        <w:t>předseda představenstva</w:t>
      </w:r>
      <w:r w:rsidR="008F39DA">
        <w:tab/>
      </w:r>
      <w:r w:rsidR="008F39DA" w:rsidRPr="008F39DA">
        <w:rPr>
          <w:highlight w:val="yellow"/>
        </w:rPr>
        <w:fldChar w:fldCharType="begin">
          <w:ffData>
            <w:name w:val="Text30"/>
            <w:enabled/>
            <w:calcOnExit w:val="0"/>
            <w:textInput/>
          </w:ffData>
        </w:fldChar>
      </w:r>
      <w:bookmarkStart w:id="22" w:name="Text30"/>
      <w:r w:rsidR="008F39DA" w:rsidRPr="008F39DA">
        <w:rPr>
          <w:highlight w:val="yellow"/>
        </w:rPr>
        <w:instrText xml:space="preserve"> FORMTEXT </w:instrText>
      </w:r>
      <w:r w:rsidR="008F39DA" w:rsidRPr="008F39DA">
        <w:rPr>
          <w:highlight w:val="yellow"/>
        </w:rPr>
      </w:r>
      <w:r w:rsidR="008F39DA" w:rsidRPr="008F39DA">
        <w:rPr>
          <w:highlight w:val="yellow"/>
        </w:rPr>
        <w:fldChar w:fldCharType="separate"/>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highlight w:val="yellow"/>
        </w:rPr>
        <w:fldChar w:fldCharType="end"/>
      </w:r>
      <w:bookmarkEnd w:id="22"/>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5A9D" w:rsidRDefault="008F5A9D" w:rsidP="008F39DA">
      <w:pPr>
        <w:tabs>
          <w:tab w:val="left" w:pos="0"/>
          <w:tab w:val="left" w:pos="5529"/>
        </w:tabs>
        <w:spacing w:after="0"/>
      </w:pPr>
      <w:r>
        <w:t>………………………………………</w:t>
      </w:r>
    </w:p>
    <w:p w:rsidR="008F5A9D" w:rsidRDefault="008F5A9D" w:rsidP="008F39DA">
      <w:pPr>
        <w:tabs>
          <w:tab w:val="left" w:pos="0"/>
          <w:tab w:val="left" w:pos="5529"/>
        </w:tabs>
        <w:spacing w:after="0"/>
      </w:pPr>
      <w:r>
        <w:t xml:space="preserve">Ing. Ladislav Staněk </w:t>
      </w:r>
    </w:p>
    <w:p w:rsidR="008F5A9D" w:rsidRDefault="008F5A9D" w:rsidP="008F39DA">
      <w:pPr>
        <w:tabs>
          <w:tab w:val="left" w:pos="0"/>
          <w:tab w:val="left" w:pos="5529"/>
        </w:tabs>
        <w:spacing w:after="0"/>
      </w:pPr>
      <w:r>
        <w:t>člen představenstva</w:t>
      </w:r>
    </w:p>
    <w:p w:rsidR="008F5A9D" w:rsidRDefault="008F5A9D" w:rsidP="008F39DA">
      <w:pPr>
        <w:tabs>
          <w:tab w:val="left" w:pos="0"/>
          <w:tab w:val="left" w:pos="5529"/>
        </w:tabs>
        <w:spacing w:after="0"/>
      </w:pPr>
    </w:p>
    <w:p w:rsidR="00A429B0" w:rsidRDefault="00A429B0" w:rsidP="008F39DA">
      <w:pPr>
        <w:tabs>
          <w:tab w:val="left" w:pos="0"/>
          <w:tab w:val="left" w:pos="5529"/>
        </w:tabs>
        <w:spacing w:after="0"/>
      </w:pPr>
    </w:p>
    <w:p w:rsidR="008F5A9D" w:rsidRPr="006929E9" w:rsidRDefault="008F5A9D" w:rsidP="008F5A9D">
      <w:pPr>
        <w:rPr>
          <w:u w:val="single"/>
        </w:rPr>
      </w:pPr>
      <w:r w:rsidRPr="006929E9">
        <w:rPr>
          <w:u w:val="single"/>
        </w:rPr>
        <w:t>Příloha č . 2 – kontakty a kontaktní osoby</w:t>
      </w:r>
    </w:p>
    <w:p w:rsidR="008F5A9D" w:rsidRDefault="008F5A9D" w:rsidP="008F5A9D"/>
    <w:p w:rsidR="004808E8" w:rsidRDefault="004808E8" w:rsidP="004808E8">
      <w:r>
        <w:t>Kontaktní osoby objednatele:</w:t>
      </w:r>
    </w:p>
    <w:p w:rsidR="004808E8" w:rsidRDefault="004808E8" w:rsidP="004808E8">
      <w:r>
        <w:t>Odpovědné osoby objednatele, které jsou oprávněny k telefonickým a místním konzultacím, ohlašování závad a vznášení dotazů v rámci této smlouvy:</w:t>
      </w:r>
    </w:p>
    <w:p w:rsidR="004808E8" w:rsidRDefault="004808E8" w:rsidP="004808E8"/>
    <w:p w:rsidR="004808E8" w:rsidRDefault="004808E8" w:rsidP="004808E8">
      <w:pPr>
        <w:tabs>
          <w:tab w:val="left" w:pos="2410"/>
          <w:tab w:val="left" w:pos="5954"/>
        </w:tabs>
      </w:pPr>
      <w:r>
        <w:t>Ing. Zdeněk Půček</w:t>
      </w:r>
      <w:r>
        <w:tab/>
        <w:t>zdenek.pucek@ceproas.cz</w:t>
      </w:r>
      <w:r>
        <w:tab/>
        <w:t>724643720</w:t>
      </w:r>
    </w:p>
    <w:p w:rsidR="004808E8" w:rsidRDefault="004808E8" w:rsidP="004808E8">
      <w:pPr>
        <w:tabs>
          <w:tab w:val="left" w:pos="2410"/>
          <w:tab w:val="left" w:pos="5954"/>
        </w:tabs>
      </w:pPr>
      <w:r>
        <w:t>Jiří Tomášek</w:t>
      </w:r>
      <w:r>
        <w:tab/>
        <w:t>jiri.tomasek@ceproas.cz</w:t>
      </w:r>
      <w:r>
        <w:tab/>
      </w:r>
      <w:r>
        <w:tab/>
        <w:t>602659634</w:t>
      </w:r>
    </w:p>
    <w:p w:rsidR="004808E8" w:rsidRDefault="004808E8" w:rsidP="004808E8">
      <w:pPr>
        <w:tabs>
          <w:tab w:val="left" w:pos="2410"/>
          <w:tab w:val="left" w:pos="5954"/>
        </w:tabs>
      </w:pPr>
      <w:r>
        <w:t>Ing. Vladimír Michálek</w:t>
      </w:r>
      <w:r>
        <w:tab/>
        <w:t>vladimir.michalek@ceproas.cz</w:t>
      </w:r>
      <w:r>
        <w:tab/>
        <w:t>739535764</w:t>
      </w:r>
    </w:p>
    <w:p w:rsidR="004808E8" w:rsidRDefault="004808E8" w:rsidP="004808E8">
      <w:pPr>
        <w:tabs>
          <w:tab w:val="left" w:pos="2410"/>
          <w:tab w:val="left" w:pos="5954"/>
        </w:tabs>
      </w:pPr>
      <w:r>
        <w:t>Lukáš Lisa</w:t>
      </w:r>
      <w:r>
        <w:tab/>
      </w:r>
      <w:hyperlink r:id="rId12" w:history="1">
        <w:r w:rsidRPr="002C7764">
          <w:t>lukas.lisa@ceproas.cz</w:t>
        </w:r>
      </w:hyperlink>
      <w:r>
        <w:tab/>
      </w:r>
      <w:r w:rsidRPr="002C7764">
        <w:t>739 240</w:t>
      </w:r>
      <w:r>
        <w:t> </w:t>
      </w:r>
      <w:r w:rsidRPr="002C7764">
        <w:t>153</w:t>
      </w:r>
    </w:p>
    <w:p w:rsidR="004808E8" w:rsidRDefault="004808E8" w:rsidP="004808E8"/>
    <w:p w:rsidR="004808E8" w:rsidRDefault="004808E8" w:rsidP="004808E8">
      <w:r>
        <w:t>Kontaktní osoby poskytovatele:</w:t>
      </w:r>
    </w:p>
    <w:p w:rsidR="004808E8" w:rsidRPr="006D0380" w:rsidRDefault="004808E8" w:rsidP="004808E8">
      <w:pPr>
        <w:tabs>
          <w:tab w:val="left" w:pos="2410"/>
          <w:tab w:val="left" w:pos="5954"/>
        </w:tabs>
      </w:pPr>
      <w:r w:rsidRPr="004808E8">
        <w:rPr>
          <w:highlight w:val="yellow"/>
        </w:rPr>
        <w:fldChar w:fldCharType="begin">
          <w:ffData>
            <w:name w:val="Text32"/>
            <w:enabled/>
            <w:calcOnExit w:val="0"/>
            <w:textInput/>
          </w:ffData>
        </w:fldChar>
      </w:r>
      <w:bookmarkStart w:id="23" w:name="Text32"/>
      <w:r w:rsidRPr="004808E8">
        <w:rPr>
          <w:highlight w:val="yellow"/>
        </w:rPr>
        <w:instrText xml:space="preserve"> FORMTEXT </w:instrText>
      </w:r>
      <w:r w:rsidRPr="004808E8">
        <w:rPr>
          <w:highlight w:val="yellow"/>
        </w:rPr>
      </w:r>
      <w:r w:rsidRPr="004808E8">
        <w:rPr>
          <w:highlight w:val="yellow"/>
        </w:rPr>
        <w:fldChar w:fldCharType="separate"/>
      </w:r>
      <w:r w:rsidRPr="004808E8">
        <w:rPr>
          <w:noProof/>
          <w:highlight w:val="yellow"/>
        </w:rPr>
        <w:t> </w:t>
      </w:r>
      <w:r w:rsidRPr="004808E8">
        <w:rPr>
          <w:noProof/>
          <w:highlight w:val="yellow"/>
        </w:rPr>
        <w:t> </w:t>
      </w:r>
      <w:r w:rsidRPr="004808E8">
        <w:rPr>
          <w:noProof/>
          <w:highlight w:val="yellow"/>
        </w:rPr>
        <w:t> </w:t>
      </w:r>
      <w:r w:rsidRPr="004808E8">
        <w:rPr>
          <w:noProof/>
          <w:highlight w:val="yellow"/>
        </w:rPr>
        <w:t> </w:t>
      </w:r>
      <w:r w:rsidRPr="004808E8">
        <w:rPr>
          <w:noProof/>
          <w:highlight w:val="yellow"/>
        </w:rPr>
        <w:t> </w:t>
      </w:r>
      <w:r w:rsidRPr="004808E8">
        <w:rPr>
          <w:highlight w:val="yellow"/>
        </w:rPr>
        <w:fldChar w:fldCharType="end"/>
      </w:r>
      <w:bookmarkEnd w:id="23"/>
      <w:r>
        <w:tab/>
      </w:r>
      <w:r w:rsidRPr="004808E8">
        <w:rPr>
          <w:highlight w:val="yellow"/>
        </w:rPr>
        <w:fldChar w:fldCharType="begin">
          <w:ffData>
            <w:name w:val="Text33"/>
            <w:enabled/>
            <w:calcOnExit w:val="0"/>
            <w:textInput/>
          </w:ffData>
        </w:fldChar>
      </w:r>
      <w:bookmarkStart w:id="24" w:name="Text33"/>
      <w:r w:rsidRPr="004808E8">
        <w:rPr>
          <w:highlight w:val="yellow"/>
        </w:rPr>
        <w:instrText xml:space="preserve"> FORMTEXT </w:instrText>
      </w:r>
      <w:r w:rsidRPr="004808E8">
        <w:rPr>
          <w:highlight w:val="yellow"/>
        </w:rPr>
      </w:r>
      <w:r w:rsidRPr="004808E8">
        <w:rPr>
          <w:highlight w:val="yellow"/>
        </w:rPr>
        <w:fldChar w:fldCharType="separate"/>
      </w:r>
      <w:r w:rsidRPr="004808E8">
        <w:rPr>
          <w:noProof/>
          <w:highlight w:val="yellow"/>
        </w:rPr>
        <w:t> </w:t>
      </w:r>
      <w:r w:rsidRPr="004808E8">
        <w:rPr>
          <w:noProof/>
          <w:highlight w:val="yellow"/>
        </w:rPr>
        <w:t> </w:t>
      </w:r>
      <w:r w:rsidRPr="004808E8">
        <w:rPr>
          <w:noProof/>
          <w:highlight w:val="yellow"/>
        </w:rPr>
        <w:t> </w:t>
      </w:r>
      <w:r w:rsidRPr="004808E8">
        <w:rPr>
          <w:noProof/>
          <w:highlight w:val="yellow"/>
        </w:rPr>
        <w:t> </w:t>
      </w:r>
      <w:r w:rsidRPr="004808E8">
        <w:rPr>
          <w:noProof/>
          <w:highlight w:val="yellow"/>
        </w:rPr>
        <w:t> </w:t>
      </w:r>
      <w:r w:rsidRPr="004808E8">
        <w:rPr>
          <w:highlight w:val="yellow"/>
        </w:rPr>
        <w:fldChar w:fldCharType="end"/>
      </w:r>
      <w:bookmarkEnd w:id="24"/>
      <w:r w:rsidRPr="006D0380">
        <w:tab/>
      </w:r>
      <w:r w:rsidRPr="004808E8">
        <w:rPr>
          <w:highlight w:val="yellow"/>
        </w:rPr>
        <w:fldChar w:fldCharType="begin">
          <w:ffData>
            <w:name w:val="Text34"/>
            <w:enabled/>
            <w:calcOnExit w:val="0"/>
            <w:textInput/>
          </w:ffData>
        </w:fldChar>
      </w:r>
      <w:bookmarkStart w:id="25" w:name="Text34"/>
      <w:r w:rsidRPr="004808E8">
        <w:rPr>
          <w:highlight w:val="yellow"/>
        </w:rPr>
        <w:instrText xml:space="preserve"> FORMTEXT </w:instrText>
      </w:r>
      <w:r w:rsidRPr="004808E8">
        <w:rPr>
          <w:highlight w:val="yellow"/>
        </w:rPr>
      </w:r>
      <w:r w:rsidRPr="004808E8">
        <w:rPr>
          <w:highlight w:val="yellow"/>
        </w:rPr>
        <w:fldChar w:fldCharType="separate"/>
      </w:r>
      <w:r w:rsidRPr="004808E8">
        <w:rPr>
          <w:noProof/>
          <w:highlight w:val="yellow"/>
        </w:rPr>
        <w:t> </w:t>
      </w:r>
      <w:r w:rsidRPr="004808E8">
        <w:rPr>
          <w:noProof/>
          <w:highlight w:val="yellow"/>
        </w:rPr>
        <w:t> </w:t>
      </w:r>
      <w:r w:rsidRPr="004808E8">
        <w:rPr>
          <w:noProof/>
          <w:highlight w:val="yellow"/>
        </w:rPr>
        <w:t> </w:t>
      </w:r>
      <w:r w:rsidRPr="004808E8">
        <w:rPr>
          <w:noProof/>
          <w:highlight w:val="yellow"/>
        </w:rPr>
        <w:t> </w:t>
      </w:r>
      <w:r w:rsidRPr="004808E8">
        <w:rPr>
          <w:noProof/>
          <w:highlight w:val="yellow"/>
        </w:rPr>
        <w:t> </w:t>
      </w:r>
      <w:r w:rsidRPr="004808E8">
        <w:rPr>
          <w:highlight w:val="yellow"/>
        </w:rPr>
        <w:fldChar w:fldCharType="end"/>
      </w:r>
      <w:bookmarkEnd w:id="25"/>
    </w:p>
    <w:p w:rsidR="004F5000" w:rsidRDefault="004808E8" w:rsidP="00E456FF">
      <w:pPr>
        <w:tabs>
          <w:tab w:val="left" w:pos="2410"/>
          <w:tab w:val="left" w:pos="5954"/>
        </w:tabs>
      </w:pPr>
      <w:r w:rsidRPr="004808E8">
        <w:rPr>
          <w:highlight w:val="yellow"/>
        </w:rPr>
        <w:fldChar w:fldCharType="begin">
          <w:ffData>
            <w:name w:val="Text32"/>
            <w:enabled/>
            <w:calcOnExit w:val="0"/>
            <w:textInput/>
          </w:ffData>
        </w:fldChar>
      </w:r>
      <w:r w:rsidRPr="004808E8">
        <w:rPr>
          <w:highlight w:val="yellow"/>
        </w:rPr>
        <w:instrText xml:space="preserve"> FORMTEXT </w:instrText>
      </w:r>
      <w:r w:rsidRPr="004808E8">
        <w:rPr>
          <w:highlight w:val="yellow"/>
        </w:rPr>
      </w:r>
      <w:r w:rsidRPr="004808E8">
        <w:rPr>
          <w:highlight w:val="yellow"/>
        </w:rPr>
        <w:fldChar w:fldCharType="separate"/>
      </w:r>
      <w:r w:rsidRPr="004808E8">
        <w:rPr>
          <w:noProof/>
          <w:highlight w:val="yellow"/>
        </w:rPr>
        <w:t> </w:t>
      </w:r>
      <w:r w:rsidRPr="004808E8">
        <w:rPr>
          <w:noProof/>
          <w:highlight w:val="yellow"/>
        </w:rPr>
        <w:t> </w:t>
      </w:r>
      <w:r w:rsidRPr="004808E8">
        <w:rPr>
          <w:noProof/>
          <w:highlight w:val="yellow"/>
        </w:rPr>
        <w:t> </w:t>
      </w:r>
      <w:r w:rsidRPr="004808E8">
        <w:rPr>
          <w:noProof/>
          <w:highlight w:val="yellow"/>
        </w:rPr>
        <w:t> </w:t>
      </w:r>
      <w:r w:rsidRPr="004808E8">
        <w:rPr>
          <w:noProof/>
          <w:highlight w:val="yellow"/>
        </w:rPr>
        <w:t> </w:t>
      </w:r>
      <w:r w:rsidRPr="004808E8">
        <w:rPr>
          <w:highlight w:val="yellow"/>
        </w:rPr>
        <w:fldChar w:fldCharType="end"/>
      </w:r>
      <w:r>
        <w:tab/>
      </w:r>
      <w:r w:rsidRPr="004808E8">
        <w:rPr>
          <w:highlight w:val="yellow"/>
        </w:rPr>
        <w:fldChar w:fldCharType="begin">
          <w:ffData>
            <w:name w:val="Text33"/>
            <w:enabled/>
            <w:calcOnExit w:val="0"/>
            <w:textInput/>
          </w:ffData>
        </w:fldChar>
      </w:r>
      <w:r w:rsidRPr="004808E8">
        <w:rPr>
          <w:highlight w:val="yellow"/>
        </w:rPr>
        <w:instrText xml:space="preserve"> FORMTEXT </w:instrText>
      </w:r>
      <w:r w:rsidRPr="004808E8">
        <w:rPr>
          <w:highlight w:val="yellow"/>
        </w:rPr>
      </w:r>
      <w:r w:rsidRPr="004808E8">
        <w:rPr>
          <w:highlight w:val="yellow"/>
        </w:rPr>
        <w:fldChar w:fldCharType="separate"/>
      </w:r>
      <w:r w:rsidRPr="004808E8">
        <w:rPr>
          <w:noProof/>
          <w:highlight w:val="yellow"/>
        </w:rPr>
        <w:t> </w:t>
      </w:r>
      <w:r w:rsidRPr="004808E8">
        <w:rPr>
          <w:noProof/>
          <w:highlight w:val="yellow"/>
        </w:rPr>
        <w:t> </w:t>
      </w:r>
      <w:r w:rsidRPr="004808E8">
        <w:rPr>
          <w:noProof/>
          <w:highlight w:val="yellow"/>
        </w:rPr>
        <w:t> </w:t>
      </w:r>
      <w:r w:rsidRPr="004808E8">
        <w:rPr>
          <w:noProof/>
          <w:highlight w:val="yellow"/>
        </w:rPr>
        <w:t> </w:t>
      </w:r>
      <w:r w:rsidRPr="004808E8">
        <w:rPr>
          <w:noProof/>
          <w:highlight w:val="yellow"/>
        </w:rPr>
        <w:t> </w:t>
      </w:r>
      <w:r w:rsidRPr="004808E8">
        <w:rPr>
          <w:highlight w:val="yellow"/>
        </w:rPr>
        <w:fldChar w:fldCharType="end"/>
      </w:r>
      <w:r w:rsidRPr="006D0380">
        <w:tab/>
      </w:r>
      <w:r w:rsidRPr="004808E8">
        <w:rPr>
          <w:highlight w:val="yellow"/>
        </w:rPr>
        <w:fldChar w:fldCharType="begin">
          <w:ffData>
            <w:name w:val="Text34"/>
            <w:enabled/>
            <w:calcOnExit w:val="0"/>
            <w:textInput/>
          </w:ffData>
        </w:fldChar>
      </w:r>
      <w:r w:rsidRPr="004808E8">
        <w:rPr>
          <w:highlight w:val="yellow"/>
        </w:rPr>
        <w:instrText xml:space="preserve"> FORMTEXT </w:instrText>
      </w:r>
      <w:r w:rsidRPr="004808E8">
        <w:rPr>
          <w:highlight w:val="yellow"/>
        </w:rPr>
      </w:r>
      <w:r w:rsidRPr="004808E8">
        <w:rPr>
          <w:highlight w:val="yellow"/>
        </w:rPr>
        <w:fldChar w:fldCharType="separate"/>
      </w:r>
      <w:r w:rsidRPr="004808E8">
        <w:rPr>
          <w:noProof/>
          <w:highlight w:val="yellow"/>
        </w:rPr>
        <w:t> </w:t>
      </w:r>
      <w:r w:rsidRPr="004808E8">
        <w:rPr>
          <w:noProof/>
          <w:highlight w:val="yellow"/>
        </w:rPr>
        <w:t> </w:t>
      </w:r>
      <w:r w:rsidRPr="004808E8">
        <w:rPr>
          <w:noProof/>
          <w:highlight w:val="yellow"/>
        </w:rPr>
        <w:t> </w:t>
      </w:r>
      <w:r w:rsidRPr="004808E8">
        <w:rPr>
          <w:noProof/>
          <w:highlight w:val="yellow"/>
        </w:rPr>
        <w:t> </w:t>
      </w:r>
      <w:r w:rsidRPr="004808E8">
        <w:rPr>
          <w:noProof/>
          <w:highlight w:val="yellow"/>
        </w:rPr>
        <w:t> </w:t>
      </w:r>
      <w:r w:rsidRPr="004808E8">
        <w:rPr>
          <w:highlight w:val="yellow"/>
        </w:rPr>
        <w:fldChar w:fldCharType="end"/>
      </w:r>
    </w:p>
    <w:sectPr w:rsidR="004F5000">
      <w:headerReference w:type="default" r:id="rId13"/>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B00" w:rsidRDefault="00343B00">
      <w:r>
        <w:separator/>
      </w:r>
    </w:p>
  </w:endnote>
  <w:endnote w:type="continuationSeparator" w:id="0">
    <w:p w:rsidR="00343B00" w:rsidRDefault="00343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B00" w:rsidRDefault="00343B00">
      <w:r>
        <w:separator/>
      </w:r>
    </w:p>
  </w:footnote>
  <w:footnote w:type="continuationSeparator" w:id="0">
    <w:p w:rsidR="00343B00" w:rsidRDefault="00343B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CB5" w:rsidRDefault="007E3CB5" w:rsidP="008F5A9D">
    <w:pPr>
      <w:pStyle w:val="Zhlav"/>
      <w:spacing w:after="0"/>
      <w:rPr>
        <w:rStyle w:val="slostrnky"/>
      </w:rPr>
    </w:pPr>
    <w:r>
      <w:t>ČEPRO, a. s.</w:t>
    </w:r>
    <w:r>
      <w:tab/>
      <w:t xml:space="preserve">Smlouva č. </w:t>
    </w:r>
    <w:r w:rsidRPr="002E50EB">
      <w:rPr>
        <w:highlight w:val="yellow"/>
      </w:rPr>
      <w:t>............</w:t>
    </w:r>
    <w:r>
      <w:tab/>
      <w:t xml:space="preserve">strana </w:t>
    </w:r>
    <w:r>
      <w:rPr>
        <w:rStyle w:val="slostrnky"/>
      </w:rPr>
      <w:fldChar w:fldCharType="begin"/>
    </w:r>
    <w:r>
      <w:rPr>
        <w:rStyle w:val="slostrnky"/>
      </w:rPr>
      <w:instrText xml:space="preserve"> PAGE </w:instrText>
    </w:r>
    <w:r>
      <w:rPr>
        <w:rStyle w:val="slostrnky"/>
      </w:rPr>
      <w:fldChar w:fldCharType="separate"/>
    </w:r>
    <w:r w:rsidR="008E23F5">
      <w:rPr>
        <w:rStyle w:val="slostrnky"/>
        <w:noProof/>
      </w:rPr>
      <w:t>1</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8E23F5">
      <w:rPr>
        <w:rStyle w:val="slostrnky"/>
        <w:noProof/>
      </w:rPr>
      <w:t>8</w:t>
    </w:r>
    <w:r>
      <w:rPr>
        <w:rStyle w:val="slostrnky"/>
      </w:rPr>
      <w:fldChar w:fldCharType="end"/>
    </w:r>
  </w:p>
  <w:p w:rsidR="007E3CB5" w:rsidRDefault="00992009" w:rsidP="008F5A9D">
    <w:pPr>
      <w:pStyle w:val="Zhlav"/>
      <w:pBdr>
        <w:bottom w:val="single" w:sz="4" w:space="1" w:color="auto"/>
      </w:pBdr>
      <w:spacing w:after="0"/>
    </w:pPr>
    <w:r>
      <w:rPr>
        <w:rStyle w:val="slostrnky"/>
      </w:rPr>
      <w:t>003/15</w:t>
    </w:r>
    <w:r w:rsidR="007E3CB5">
      <w:rPr>
        <w:rStyle w:val="slostrnky"/>
      </w:rPr>
      <w:t>/OCN</w:t>
    </w:r>
    <w:r w:rsidR="007E3CB5">
      <w:rPr>
        <w:rStyle w:val="slostrnky"/>
      </w:rPr>
      <w:tab/>
    </w:r>
    <w:r>
      <w:rPr>
        <w:rStyle w:val="slostrnky"/>
      </w:rPr>
      <w:t>HW podpora IBM</w:t>
    </w:r>
  </w:p>
  <w:p w:rsidR="007E3CB5" w:rsidRDefault="007E3CB5">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94AFA"/>
    <w:multiLevelType w:val="hybridMultilevel"/>
    <w:tmpl w:val="43741A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FD17B82"/>
    <w:multiLevelType w:val="hybridMultilevel"/>
    <w:tmpl w:val="0F64E388"/>
    <w:lvl w:ilvl="0" w:tplc="04050001">
      <w:start w:val="1"/>
      <w:numFmt w:val="bullet"/>
      <w:lvlText w:val=""/>
      <w:lvlJc w:val="left"/>
      <w:pPr>
        <w:ind w:left="723" w:hanging="360"/>
      </w:pPr>
      <w:rPr>
        <w:rFonts w:ascii="Symbol" w:hAnsi="Symbol" w:hint="default"/>
      </w:rPr>
    </w:lvl>
    <w:lvl w:ilvl="1" w:tplc="04050003" w:tentative="1">
      <w:start w:val="1"/>
      <w:numFmt w:val="bullet"/>
      <w:lvlText w:val="o"/>
      <w:lvlJc w:val="left"/>
      <w:pPr>
        <w:ind w:left="1443" w:hanging="360"/>
      </w:pPr>
      <w:rPr>
        <w:rFonts w:ascii="Courier New" w:hAnsi="Courier New" w:cs="Courier New" w:hint="default"/>
      </w:rPr>
    </w:lvl>
    <w:lvl w:ilvl="2" w:tplc="04050005" w:tentative="1">
      <w:start w:val="1"/>
      <w:numFmt w:val="bullet"/>
      <w:lvlText w:val=""/>
      <w:lvlJc w:val="left"/>
      <w:pPr>
        <w:ind w:left="2163" w:hanging="360"/>
      </w:pPr>
      <w:rPr>
        <w:rFonts w:ascii="Wingdings" w:hAnsi="Wingdings" w:hint="default"/>
      </w:rPr>
    </w:lvl>
    <w:lvl w:ilvl="3" w:tplc="04050001" w:tentative="1">
      <w:start w:val="1"/>
      <w:numFmt w:val="bullet"/>
      <w:lvlText w:val=""/>
      <w:lvlJc w:val="left"/>
      <w:pPr>
        <w:ind w:left="2883" w:hanging="360"/>
      </w:pPr>
      <w:rPr>
        <w:rFonts w:ascii="Symbol" w:hAnsi="Symbol" w:hint="default"/>
      </w:rPr>
    </w:lvl>
    <w:lvl w:ilvl="4" w:tplc="04050003" w:tentative="1">
      <w:start w:val="1"/>
      <w:numFmt w:val="bullet"/>
      <w:lvlText w:val="o"/>
      <w:lvlJc w:val="left"/>
      <w:pPr>
        <w:ind w:left="3603" w:hanging="360"/>
      </w:pPr>
      <w:rPr>
        <w:rFonts w:ascii="Courier New" w:hAnsi="Courier New" w:cs="Courier New" w:hint="default"/>
      </w:rPr>
    </w:lvl>
    <w:lvl w:ilvl="5" w:tplc="04050005" w:tentative="1">
      <w:start w:val="1"/>
      <w:numFmt w:val="bullet"/>
      <w:lvlText w:val=""/>
      <w:lvlJc w:val="left"/>
      <w:pPr>
        <w:ind w:left="4323" w:hanging="360"/>
      </w:pPr>
      <w:rPr>
        <w:rFonts w:ascii="Wingdings" w:hAnsi="Wingdings" w:hint="default"/>
      </w:rPr>
    </w:lvl>
    <w:lvl w:ilvl="6" w:tplc="04050001" w:tentative="1">
      <w:start w:val="1"/>
      <w:numFmt w:val="bullet"/>
      <w:lvlText w:val=""/>
      <w:lvlJc w:val="left"/>
      <w:pPr>
        <w:ind w:left="5043" w:hanging="360"/>
      </w:pPr>
      <w:rPr>
        <w:rFonts w:ascii="Symbol" w:hAnsi="Symbol" w:hint="default"/>
      </w:rPr>
    </w:lvl>
    <w:lvl w:ilvl="7" w:tplc="04050003" w:tentative="1">
      <w:start w:val="1"/>
      <w:numFmt w:val="bullet"/>
      <w:lvlText w:val="o"/>
      <w:lvlJc w:val="left"/>
      <w:pPr>
        <w:ind w:left="5763" w:hanging="360"/>
      </w:pPr>
      <w:rPr>
        <w:rFonts w:ascii="Courier New" w:hAnsi="Courier New" w:cs="Courier New" w:hint="default"/>
      </w:rPr>
    </w:lvl>
    <w:lvl w:ilvl="8" w:tplc="04050005" w:tentative="1">
      <w:start w:val="1"/>
      <w:numFmt w:val="bullet"/>
      <w:lvlText w:val=""/>
      <w:lvlJc w:val="left"/>
      <w:pPr>
        <w:ind w:left="6483" w:hanging="360"/>
      </w:pPr>
      <w:rPr>
        <w:rFonts w:ascii="Wingdings" w:hAnsi="Wingdings" w:hint="default"/>
      </w:rPr>
    </w:lvl>
  </w:abstractNum>
  <w:abstractNum w:abstractNumId="2">
    <w:nsid w:val="3E962F22"/>
    <w:multiLevelType w:val="hybridMultilevel"/>
    <w:tmpl w:val="0498A63C"/>
    <w:lvl w:ilvl="0" w:tplc="C30664E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56B779F1"/>
    <w:multiLevelType w:val="hybridMultilevel"/>
    <w:tmpl w:val="3962BCE0"/>
    <w:lvl w:ilvl="0" w:tplc="5246D954">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4">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5">
    <w:nsid w:val="6504202F"/>
    <w:multiLevelType w:val="multilevel"/>
    <w:tmpl w:val="A4BC677E"/>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364"/>
        </w:tabs>
        <w:ind w:left="851"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6">
    <w:nsid w:val="7AC11F6C"/>
    <w:multiLevelType w:val="multilevel"/>
    <w:tmpl w:val="BDC6DD82"/>
    <w:lvl w:ilvl="0">
      <w:start w:val="1"/>
      <w:numFmt w:val="ordinal"/>
      <w:suff w:val="space"/>
      <w:lvlText w:val="Čl. %1"/>
      <w:lvlJc w:val="left"/>
      <w:pPr>
        <w:ind w:left="18" w:hanging="454"/>
      </w:pPr>
      <w:rPr>
        <w:rFonts w:hint="default"/>
      </w:rPr>
    </w:lvl>
    <w:lvl w:ilvl="1">
      <w:start w:val="1"/>
      <w:numFmt w:val="ordinal"/>
      <w:lvlText w:val="%1%2"/>
      <w:lvlJc w:val="left"/>
      <w:pPr>
        <w:tabs>
          <w:tab w:val="num" w:pos="1322"/>
        </w:tabs>
        <w:ind w:left="1322" w:hanging="1401"/>
      </w:pPr>
      <w:rPr>
        <w:rFonts w:hint="default"/>
      </w:rPr>
    </w:lvl>
    <w:lvl w:ilvl="2">
      <w:start w:val="1"/>
      <w:numFmt w:val="ordinal"/>
      <w:lvlText w:val="%1%2%3"/>
      <w:lvlJc w:val="left"/>
      <w:pPr>
        <w:tabs>
          <w:tab w:val="num" w:pos="1889"/>
        </w:tabs>
        <w:ind w:left="1889" w:hanging="1605"/>
      </w:pPr>
      <w:rPr>
        <w:rFonts w:hint="default"/>
      </w:rPr>
    </w:lvl>
    <w:lvl w:ilvl="3">
      <w:start w:val="1"/>
      <w:numFmt w:val="ordinal"/>
      <w:suff w:val="space"/>
      <w:lvlText w:val="%1%2%3%4"/>
      <w:lvlJc w:val="left"/>
      <w:pPr>
        <w:ind w:left="2853" w:hanging="2209"/>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abstractNumId w:val="4"/>
  </w:num>
  <w:num w:numId="2">
    <w:abstractNumId w:val="4"/>
  </w:num>
  <w:num w:numId="3">
    <w:abstractNumId w:val="4"/>
  </w:num>
  <w:num w:numId="4">
    <w:abstractNumId w:val="5"/>
  </w:num>
  <w:num w:numId="5">
    <w:abstractNumId w:val="5"/>
  </w:num>
  <w:num w:numId="6">
    <w:abstractNumId w:val="5"/>
  </w:num>
  <w:num w:numId="7">
    <w:abstractNumId w:val="2"/>
  </w:num>
  <w:num w:numId="8">
    <w:abstractNumId w:val="6"/>
  </w:num>
  <w:num w:numId="9">
    <w:abstractNumId w:val="5"/>
  </w:num>
  <w:num w:numId="10">
    <w:abstractNumId w:val="5"/>
  </w:num>
  <w:num w:numId="11">
    <w:abstractNumId w:val="5"/>
  </w:num>
  <w:num w:numId="12">
    <w:abstractNumId w:val="2"/>
  </w:num>
  <w:num w:numId="13">
    <w:abstractNumId w:val="5"/>
  </w:num>
  <w:num w:numId="14">
    <w:abstractNumId w:val="3"/>
  </w:num>
  <w:num w:numId="15">
    <w:abstractNumId w:val="3"/>
  </w:num>
  <w:num w:numId="16">
    <w:abstractNumId w:val="5"/>
  </w:num>
  <w:num w:numId="17">
    <w:abstractNumId w:val="5"/>
  </w:num>
  <w:num w:numId="18">
    <w:abstractNumId w:val="5"/>
  </w:num>
  <w:num w:numId="19">
    <w:abstractNumId w:val="2"/>
  </w:num>
  <w:num w:numId="20">
    <w:abstractNumId w:val="5"/>
  </w:num>
  <w:num w:numId="21">
    <w:abstractNumId w:val="3"/>
    <w:lvlOverride w:ilvl="0">
      <w:startOverride w:val="1"/>
    </w:lvlOverride>
  </w:num>
  <w:num w:numId="22">
    <w:abstractNumId w:val="3"/>
  </w:num>
  <w:num w:numId="23">
    <w:abstractNumId w:val="3"/>
  </w:num>
  <w:num w:numId="24">
    <w:abstractNumId w:val="3"/>
    <w:lvlOverride w:ilvl="0">
      <w:startOverride w:val="1"/>
    </w:lvlOverride>
  </w:num>
  <w:num w:numId="25">
    <w:abstractNumId w:val="3"/>
    <w:lvlOverride w:ilvl="0">
      <w:startOverride w:val="1"/>
    </w:lvlOverride>
  </w:num>
  <w:num w:numId="26">
    <w:abstractNumId w:val="3"/>
  </w:num>
  <w:num w:numId="27">
    <w:abstractNumId w:val="0"/>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A9D"/>
    <w:rsid w:val="00032FD8"/>
    <w:rsid w:val="00047BEE"/>
    <w:rsid w:val="000526B4"/>
    <w:rsid w:val="000552AE"/>
    <w:rsid w:val="0007246F"/>
    <w:rsid w:val="000D19D8"/>
    <w:rsid w:val="000E196A"/>
    <w:rsid w:val="00120B6E"/>
    <w:rsid w:val="00152C2A"/>
    <w:rsid w:val="001760A6"/>
    <w:rsid w:val="001B2EA2"/>
    <w:rsid w:val="001B3874"/>
    <w:rsid w:val="001C35CF"/>
    <w:rsid w:val="001C5BD3"/>
    <w:rsid w:val="001D32F0"/>
    <w:rsid w:val="001D64B8"/>
    <w:rsid w:val="002244CF"/>
    <w:rsid w:val="00225234"/>
    <w:rsid w:val="002301B2"/>
    <w:rsid w:val="0023700B"/>
    <w:rsid w:val="0026112B"/>
    <w:rsid w:val="00266F07"/>
    <w:rsid w:val="00294A1E"/>
    <w:rsid w:val="002C4E3C"/>
    <w:rsid w:val="002C7764"/>
    <w:rsid w:val="00300AF2"/>
    <w:rsid w:val="00314C2A"/>
    <w:rsid w:val="00343B00"/>
    <w:rsid w:val="00362EE1"/>
    <w:rsid w:val="00363594"/>
    <w:rsid w:val="003671A5"/>
    <w:rsid w:val="00396802"/>
    <w:rsid w:val="00405ECC"/>
    <w:rsid w:val="00412309"/>
    <w:rsid w:val="004174FB"/>
    <w:rsid w:val="004307B7"/>
    <w:rsid w:val="00470920"/>
    <w:rsid w:val="004808E8"/>
    <w:rsid w:val="004D0C0F"/>
    <w:rsid w:val="004F5000"/>
    <w:rsid w:val="005270CF"/>
    <w:rsid w:val="005457CC"/>
    <w:rsid w:val="00566133"/>
    <w:rsid w:val="00596991"/>
    <w:rsid w:val="005B4AF9"/>
    <w:rsid w:val="005D3852"/>
    <w:rsid w:val="005E3128"/>
    <w:rsid w:val="005E41B6"/>
    <w:rsid w:val="006101A1"/>
    <w:rsid w:val="00633D18"/>
    <w:rsid w:val="00635D66"/>
    <w:rsid w:val="00646269"/>
    <w:rsid w:val="00657A0B"/>
    <w:rsid w:val="00662072"/>
    <w:rsid w:val="006741C9"/>
    <w:rsid w:val="006853F5"/>
    <w:rsid w:val="006929E9"/>
    <w:rsid w:val="006B2283"/>
    <w:rsid w:val="006B73FB"/>
    <w:rsid w:val="006C51F2"/>
    <w:rsid w:val="00701D29"/>
    <w:rsid w:val="007A181C"/>
    <w:rsid w:val="007D2508"/>
    <w:rsid w:val="007E3CB5"/>
    <w:rsid w:val="007E4568"/>
    <w:rsid w:val="007F3B24"/>
    <w:rsid w:val="00897A06"/>
    <w:rsid w:val="008A2352"/>
    <w:rsid w:val="008E23F5"/>
    <w:rsid w:val="008F39DA"/>
    <w:rsid w:val="008F5A9D"/>
    <w:rsid w:val="00927BA4"/>
    <w:rsid w:val="00941FD5"/>
    <w:rsid w:val="00944127"/>
    <w:rsid w:val="009639DD"/>
    <w:rsid w:val="00966B19"/>
    <w:rsid w:val="0098160A"/>
    <w:rsid w:val="00992009"/>
    <w:rsid w:val="009A20BB"/>
    <w:rsid w:val="00A04FFA"/>
    <w:rsid w:val="00A307FC"/>
    <w:rsid w:val="00A429B0"/>
    <w:rsid w:val="00AA1516"/>
    <w:rsid w:val="00AB2E91"/>
    <w:rsid w:val="00AD530B"/>
    <w:rsid w:val="00B54143"/>
    <w:rsid w:val="00B619FE"/>
    <w:rsid w:val="00B771AC"/>
    <w:rsid w:val="00BB4D4D"/>
    <w:rsid w:val="00BE2A42"/>
    <w:rsid w:val="00BF1B0D"/>
    <w:rsid w:val="00C06800"/>
    <w:rsid w:val="00C24B66"/>
    <w:rsid w:val="00C37ED7"/>
    <w:rsid w:val="00C43308"/>
    <w:rsid w:val="00CB5FDB"/>
    <w:rsid w:val="00CC4415"/>
    <w:rsid w:val="00D85952"/>
    <w:rsid w:val="00DA0BDE"/>
    <w:rsid w:val="00DE490A"/>
    <w:rsid w:val="00DF7661"/>
    <w:rsid w:val="00E456FF"/>
    <w:rsid w:val="00E852B7"/>
    <w:rsid w:val="00EB6D9B"/>
    <w:rsid w:val="00EC2908"/>
    <w:rsid w:val="00EC3FB5"/>
    <w:rsid w:val="00ED74A0"/>
    <w:rsid w:val="00F46ECD"/>
    <w:rsid w:val="00F513B0"/>
    <w:rsid w:val="00F7313D"/>
    <w:rsid w:val="00FD7BD1"/>
    <w:rsid w:val="00FF2839"/>
    <w:rsid w:val="00FF3E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15"/>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20"/>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19"/>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nhideWhenUsed/>
    <w:rsid w:val="00470920"/>
    <w:rPr>
      <w:sz w:val="16"/>
      <w:szCs w:val="16"/>
    </w:rPr>
  </w:style>
  <w:style w:type="paragraph" w:styleId="Textkomente">
    <w:name w:val="annotation text"/>
    <w:basedOn w:val="Normln"/>
    <w:link w:val="TextkomenteChar"/>
    <w:unhideWhenUsed/>
    <w:rsid w:val="00470920"/>
    <w:rPr>
      <w:szCs w:val="20"/>
    </w:rPr>
  </w:style>
  <w:style w:type="character" w:customStyle="1" w:styleId="TextkomenteChar">
    <w:name w:val="Text komentáře Char"/>
    <w:basedOn w:val="Standardnpsmoodstavce"/>
    <w:link w:val="Textkomente"/>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992009"/>
    <w:rPr>
      <w:b/>
      <w:bCs/>
    </w:rPr>
  </w:style>
  <w:style w:type="table" w:styleId="Mkatabulky">
    <w:name w:val="Table Grid"/>
    <w:basedOn w:val="Normlntabulka"/>
    <w:rsid w:val="00C37ED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15"/>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20"/>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19"/>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nhideWhenUsed/>
    <w:rsid w:val="00470920"/>
    <w:rPr>
      <w:sz w:val="16"/>
      <w:szCs w:val="16"/>
    </w:rPr>
  </w:style>
  <w:style w:type="paragraph" w:styleId="Textkomente">
    <w:name w:val="annotation text"/>
    <w:basedOn w:val="Normln"/>
    <w:link w:val="TextkomenteChar"/>
    <w:unhideWhenUsed/>
    <w:rsid w:val="00470920"/>
    <w:rPr>
      <w:szCs w:val="20"/>
    </w:rPr>
  </w:style>
  <w:style w:type="character" w:customStyle="1" w:styleId="TextkomenteChar">
    <w:name w:val="Text komentáře Char"/>
    <w:basedOn w:val="Standardnpsmoodstavce"/>
    <w:link w:val="Textkomente"/>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992009"/>
    <w:rPr>
      <w:b/>
      <w:bCs/>
    </w:rPr>
  </w:style>
  <w:style w:type="table" w:styleId="Mkatabulky">
    <w:name w:val="Table Grid"/>
    <w:basedOn w:val="Normlntabulka"/>
    <w:rsid w:val="00C37ED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883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ukas.lisa@ceproas.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vyberova-rizen&#237;"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ceproas.cz/public/data/eticky_kodex-final.pdf" TargetMode="External"/><Relationship Id="rId4" Type="http://schemas.microsoft.com/office/2007/relationships/stylesWithEffects" Target="stylesWithEffects.xml"/><Relationship Id="rId9" Type="http://schemas.openxmlformats.org/officeDocument/2006/relationships/hyperlink" Target="mailto:vladimir.michalek@ceproas.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ED390-FFDF-4247-A2C9-C89CA315D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3828</Words>
  <Characters>22587</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7</cp:revision>
  <cp:lastPrinted>2015-01-28T09:27:00Z</cp:lastPrinted>
  <dcterms:created xsi:type="dcterms:W3CDTF">2015-01-27T17:19:00Z</dcterms:created>
  <dcterms:modified xsi:type="dcterms:W3CDTF">2015-01-28T12:47:00Z</dcterms:modified>
</cp:coreProperties>
</file>